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88" w:rsidRDefault="00C80F15" w:rsidP="00F80A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Latn-RS"/>
        </w:rPr>
        <w:t xml:space="preserve">На основу члана13. Закона о подстицајима у пољопривреди и руралном развоју ('' Службени гласник Републике Србије '' бр. 10/13, </w:t>
      </w:r>
      <w:r w:rsidR="00FF0288">
        <w:rPr>
          <w:rFonts w:ascii="Times New Roman" w:hAnsi="Times New Roman" w:cs="Times New Roman"/>
          <w:sz w:val="24"/>
          <w:szCs w:val="24"/>
          <w:lang w:val="sr-Latn-RS"/>
        </w:rPr>
        <w:t>142/14,103/15 и 101/16), члана 5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 xml:space="preserve">2. Закона о локалној самоуправи (''Службени гласник РС '' број129/07, 83/14-др. Закони  </w:t>
      </w:r>
      <w:r w:rsidR="00FF0288">
        <w:rPr>
          <w:rFonts w:ascii="Times New Roman" w:hAnsi="Times New Roman" w:cs="Times New Roman"/>
          <w:sz w:val="24"/>
          <w:szCs w:val="24"/>
          <w:lang w:val="sr-Latn-RS"/>
        </w:rPr>
        <w:t>101/16-др. Закон) и члана 62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>. Статута општине Александровац ('' Службени лист</w:t>
      </w:r>
      <w:r w:rsidR="00DE703B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 xml:space="preserve"> општине Александровац број 7/08, 1/12, 13/12, 3</w:t>
      </w:r>
      <w:r w:rsidR="00DE703B">
        <w:rPr>
          <w:rFonts w:ascii="Times New Roman" w:hAnsi="Times New Roman" w:cs="Times New Roman"/>
          <w:sz w:val="24"/>
          <w:szCs w:val="24"/>
          <w:lang w:val="sr-Latn-RS"/>
        </w:rPr>
        <w:t>/13, 11/16 и 4/17),</w:t>
      </w:r>
      <w:r w:rsidR="00DE7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>Одлуке о буџету општине Александровац за 2018.годину ( '' Службени лист општ</w:t>
      </w:r>
      <w:r w:rsidR="00DE703B">
        <w:rPr>
          <w:rFonts w:ascii="Times New Roman" w:hAnsi="Times New Roman" w:cs="Times New Roman"/>
          <w:sz w:val="24"/>
          <w:szCs w:val="24"/>
          <w:lang w:val="sr-Latn-RS"/>
        </w:rPr>
        <w:t>ине Александровац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>'' број</w:t>
      </w:r>
      <w:r w:rsidR="00DE70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703B">
        <w:rPr>
          <w:rFonts w:ascii="Times New Roman" w:hAnsi="Times New Roman" w:cs="Times New Roman"/>
          <w:sz w:val="24"/>
          <w:szCs w:val="24"/>
          <w:lang w:val="sr-Cyrl-RS"/>
        </w:rPr>
        <w:t>11/2017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>сагласност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 xml:space="preserve"> Министарства пољопривреде, шумарства и водопривреде број 320-00-2099/2018/09 од 28.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>арта 2018.године и Програма мера подршке за спровођење пољопривредне политике и политике руралног р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>звоја општине Александровац за 2018.годину, број 020-112/2018-01</w:t>
      </w:r>
      <w:r w:rsidR="00F80AF9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F80AF9">
        <w:rPr>
          <w:rFonts w:ascii="Times New Roman" w:hAnsi="Times New Roman" w:cs="Times New Roman"/>
          <w:sz w:val="24"/>
          <w:szCs w:val="24"/>
          <w:lang w:val="sr-Cyrl-RS"/>
        </w:rPr>
        <w:t>''Службени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 xml:space="preserve"> лист општине Александровац'' број </w:t>
      </w:r>
      <w:r w:rsidR="00F80AF9">
        <w:rPr>
          <w:rFonts w:ascii="Times New Roman" w:hAnsi="Times New Roman" w:cs="Times New Roman"/>
          <w:sz w:val="24"/>
          <w:szCs w:val="24"/>
          <w:lang w:val="sr-Cyrl-RS"/>
        </w:rPr>
        <w:t>5/18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1783B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C80F15" w:rsidRPr="0041783B" w:rsidRDefault="0041783B" w:rsidP="00FF02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начелник општинске управе општине Александровац доноси</w:t>
      </w:r>
      <w:r w:rsidR="0099772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1783B" w:rsidRPr="0041783B" w:rsidRDefault="0041783B" w:rsidP="00C80F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83B" w:rsidRPr="00431A3C" w:rsidRDefault="0041783B" w:rsidP="0041783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ДОДЕЛИ БЕСПОВРАТНИХ СРЕДСТАВА</w:t>
      </w:r>
    </w:p>
    <w:p w:rsidR="0041783B" w:rsidRPr="00431A3C" w:rsidRDefault="0041783B" w:rsidP="0041783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за подизање нових или обнављање постојећих (крчење и подизање),</w:t>
      </w:r>
    </w:p>
    <w:p w:rsidR="0041783B" w:rsidRPr="00431A3C" w:rsidRDefault="0041783B" w:rsidP="0041783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вишегодишњих засада воћа у 2018.години на територији општине Александровац</w:t>
      </w:r>
    </w:p>
    <w:p w:rsidR="00C80F15" w:rsidRPr="0041783B" w:rsidRDefault="00C80F15" w:rsidP="0041783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6266" w:rsidRPr="0041783B" w:rsidRDefault="00CA62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266" w:rsidRPr="00431A3C" w:rsidRDefault="00CA6266" w:rsidP="00CA62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Опште одредбе</w:t>
      </w:r>
    </w:p>
    <w:p w:rsidR="00CA6266" w:rsidRPr="00431A3C" w:rsidRDefault="00CA6266" w:rsidP="00CA62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41783B" w:rsidRPr="0041783B" w:rsidRDefault="0041783B" w:rsidP="00CA6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266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Правилником о додели бесповратних средстава </w:t>
      </w:r>
      <w:r w:rsidR="0041783B" w:rsidRPr="0041783B">
        <w:rPr>
          <w:rFonts w:ascii="Times New Roman" w:hAnsi="Times New Roman" w:cs="Times New Roman"/>
          <w:sz w:val="24"/>
          <w:szCs w:val="24"/>
          <w:lang w:val="sr-Cyrl-RS"/>
        </w:rPr>
        <w:t>за подизање нових или обнављање постојећих (крчење и подизање), вишегодишњих засада воћа у 2018.години на територији општине Александровац</w:t>
      </w:r>
      <w:r w:rsid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(у даљем тексту: Правилник) прописују се намена бесповратних средстава, корисници, обавезна документација, поступак додељивања бесповратних средстава, поступање с непотпуним пријавама, критеријуми за доделу средстава, обавезе корисника средстава и друга питања знача</w:t>
      </w:r>
      <w:r w:rsidR="0041783B">
        <w:rPr>
          <w:rFonts w:ascii="Times New Roman" w:hAnsi="Times New Roman" w:cs="Times New Roman"/>
          <w:sz w:val="24"/>
          <w:szCs w:val="24"/>
          <w:lang w:val="sr-Cyrl-RS"/>
        </w:rPr>
        <w:t>јна за реализацију дела мере 101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из Програма </w:t>
      </w:r>
      <w:r w:rsidR="0041783B">
        <w:rPr>
          <w:rFonts w:ascii="Times New Roman" w:hAnsi="Times New Roman" w:cs="Times New Roman"/>
          <w:sz w:val="24"/>
          <w:szCs w:val="24"/>
          <w:lang w:val="sr-Cyrl-RS"/>
        </w:rPr>
        <w:t xml:space="preserve">мера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подршке за спровођење пољопривредне политике и политике ру</w:t>
      </w:r>
      <w:r w:rsidR="0041783B">
        <w:rPr>
          <w:rFonts w:ascii="Times New Roman" w:hAnsi="Times New Roman" w:cs="Times New Roman"/>
          <w:sz w:val="24"/>
          <w:szCs w:val="24"/>
          <w:lang w:val="sr-Cyrl-RS"/>
        </w:rPr>
        <w:t>ралног развоја за општину Александровац: Инвестиције у физичку имовину пољопривредних газдинстава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41783B">
        <w:rPr>
          <w:rFonts w:ascii="Times New Roman" w:hAnsi="Times New Roman" w:cs="Times New Roman"/>
          <w:sz w:val="24"/>
          <w:szCs w:val="24"/>
          <w:lang w:val="sr-Cyrl-RS"/>
        </w:rPr>
        <w:t xml:space="preserve">подизање нових или </w:t>
      </w:r>
      <w:r w:rsidR="0041783B" w:rsidRPr="0041783B">
        <w:rPr>
          <w:rFonts w:ascii="Times New Roman" w:hAnsi="Times New Roman" w:cs="Times New Roman"/>
          <w:sz w:val="24"/>
          <w:szCs w:val="24"/>
          <w:lang w:val="sr-Cyrl-RS"/>
        </w:rPr>
        <w:t>обнављање постојећих (крчење и подизање),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83B" w:rsidRPr="0041783B">
        <w:rPr>
          <w:rFonts w:ascii="Times New Roman" w:hAnsi="Times New Roman" w:cs="Times New Roman"/>
          <w:sz w:val="24"/>
          <w:szCs w:val="24"/>
          <w:lang w:val="sr-Cyrl-RS"/>
        </w:rPr>
        <w:t>вишегодишњих засада воћа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6266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99772F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усвојила је Скупштина општине Александровац, на 14 седници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30. марта 2018.године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F578E0" w:rsidRPr="00F578E0">
        <w:rPr>
          <w:rFonts w:ascii="Times New Roman" w:hAnsi="Times New Roman" w:cs="Times New Roman"/>
          <w:sz w:val="24"/>
          <w:szCs w:val="24"/>
          <w:lang w:val="sr-Cyrl-CS"/>
        </w:rPr>
        <w:t>Комисија за подстицање развоја пољопривреде општине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задужена је за његову реализацију.</w:t>
      </w:r>
    </w:p>
    <w:p w:rsidR="00CA6266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266" w:rsidRPr="00431A3C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Висина и начин доделе бесповратних средстава</w:t>
      </w:r>
    </w:p>
    <w:p w:rsidR="00CA6266" w:rsidRPr="0041783B" w:rsidRDefault="00CA6266" w:rsidP="00792AB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6266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5A6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износ бесповратних средстава који се додељује по Правилнику </w:t>
      </w:r>
      <w:r w:rsidR="00AF389D">
        <w:rPr>
          <w:rFonts w:ascii="Times New Roman" w:hAnsi="Times New Roman" w:cs="Times New Roman"/>
          <w:sz w:val="24"/>
          <w:szCs w:val="24"/>
          <w:lang w:val="sr-Cyrl-RS"/>
        </w:rPr>
        <w:t>и по К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>онкурсу износи до 5.0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00.000,00 динара. </w:t>
      </w:r>
      <w:r w:rsidR="00331FB2">
        <w:rPr>
          <w:rFonts w:ascii="Times New Roman" w:hAnsi="Times New Roman" w:cs="Times New Roman"/>
          <w:sz w:val="24"/>
          <w:szCs w:val="24"/>
          <w:lang w:val="sr-Latn-RS"/>
        </w:rPr>
        <w:t>Опредељени износ бесповратних средстава</w:t>
      </w:r>
      <w:r w:rsidR="00331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FB2">
        <w:rPr>
          <w:rFonts w:ascii="Times New Roman" w:hAnsi="Times New Roman" w:cs="Times New Roman"/>
          <w:sz w:val="24"/>
          <w:szCs w:val="24"/>
          <w:lang w:val="sr-Latn-RS"/>
        </w:rPr>
        <w:t>за подизање засада шљиве је 3.000 000,00динара, јабуке  1.000 000,00динара и крушке 1.000 000,00динара.</w:t>
      </w:r>
    </w:p>
    <w:p w:rsidR="00CA6266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из става 1. 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>овог члана додељиваће се путем К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онкурса који се објављује у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 xml:space="preserve"> ''Службеном листу Општине Александровац'', на интернет страници званичног сајта општине Александровац </w:t>
      </w:r>
      <w:hyperlink r:id="rId9" w:history="1">
        <w:r w:rsidR="00303614" w:rsidRPr="009B7EE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www.aleksandrovac.rs</w:t>
        </w:r>
      </w:hyperlink>
      <w:r w:rsidR="00303614">
        <w:rPr>
          <w:rFonts w:ascii="Times New Roman" w:hAnsi="Times New Roman" w:cs="Times New Roman"/>
          <w:sz w:val="24"/>
          <w:szCs w:val="24"/>
          <w:lang w:val="sr-Cyrl-RS"/>
        </w:rPr>
        <w:t xml:space="preserve">, огласној табли општинске управе општине Александровац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(у даљем тексту: Конкурс)</w:t>
      </w:r>
      <w:r w:rsidR="00BA3512">
        <w:rPr>
          <w:rFonts w:ascii="Times New Roman" w:hAnsi="Times New Roman" w:cs="Times New Roman"/>
          <w:sz w:val="24"/>
          <w:szCs w:val="24"/>
          <w:lang w:val="sr-Cyrl-RS"/>
        </w:rPr>
        <w:t>, у месним заједницама и преко медија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705A6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Конкурс је отворен до утр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шка средс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 xml:space="preserve">тава а најкасније до </w:t>
      </w:r>
      <w:r w:rsidR="0099772F">
        <w:rPr>
          <w:rFonts w:ascii="Times New Roman" w:hAnsi="Times New Roman" w:cs="Times New Roman"/>
          <w:sz w:val="24"/>
          <w:szCs w:val="24"/>
          <w:lang w:val="sr-Cyrl-RS"/>
        </w:rPr>
        <w:t>5.11.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99772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>одине.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Захтеви </w:t>
      </w:r>
      <w:r w:rsidR="00C705A6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40F8D">
        <w:rPr>
          <w:rFonts w:ascii="Times New Roman" w:hAnsi="Times New Roman" w:cs="Times New Roman"/>
          <w:sz w:val="24"/>
          <w:szCs w:val="24"/>
          <w:lang w:val="sr-Cyrl-RS"/>
        </w:rPr>
        <w:t xml:space="preserve">доделу бесповратних средстава за подизање нових или обнављање постојећих (крчење и подизање) вишегодишњих засада воћака, подносе у току 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>године са почетком од</w:t>
      </w:r>
      <w:r w:rsidR="00AF389D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F578E0" w:rsidRPr="00FF02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 xml:space="preserve"> маја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7D38B7">
        <w:rPr>
          <w:rFonts w:ascii="Times New Roman" w:hAnsi="Times New Roman" w:cs="Times New Roman"/>
          <w:sz w:val="24"/>
          <w:szCs w:val="24"/>
          <w:lang w:val="sr-Cyrl-RS"/>
        </w:rPr>
        <w:t>године  до  5.новембра</w:t>
      </w:r>
      <w:r w:rsidR="00FF0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F8D">
        <w:rPr>
          <w:rFonts w:ascii="Times New Roman" w:hAnsi="Times New Roman" w:cs="Times New Roman"/>
          <w:sz w:val="24"/>
          <w:szCs w:val="24"/>
          <w:lang w:val="sr-Cyrl-RS"/>
        </w:rPr>
        <w:t>2018.године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0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поднета на Конкурс не враћа се. Средства за подршку инвестиција према Правилнику и по Конкурсу додељују се бесповратно. </w:t>
      </w:r>
    </w:p>
    <w:p w:rsidR="00690AAD" w:rsidRPr="00C575ED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Бесповратна средства за подршку инвестиција по овом кон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>курсу утврђују се у износу до 7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0%</w:t>
      </w:r>
      <w:r w:rsidR="00303614">
        <w:rPr>
          <w:rFonts w:ascii="Times New Roman" w:hAnsi="Times New Roman" w:cs="Times New Roman"/>
          <w:sz w:val="24"/>
          <w:szCs w:val="24"/>
          <w:lang w:val="sr-Cyrl-RS"/>
        </w:rPr>
        <w:t>, максимално до 80,00 динара по комаду саднице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Приликом обрачуна узима се вредност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инвестиције без пореза на додату вредност (ПДВ). Максималан износ бесповратних средстав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>а по једној пријави износи до 1</w:t>
      </w:r>
      <w:r w:rsidR="00F578E0" w:rsidRPr="00FF028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0.000,00 динара. </w:t>
      </w:r>
    </w:p>
    <w:p w:rsidR="00690AAD" w:rsidRPr="00C575ED" w:rsidRDefault="00690AAD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0AAD" w:rsidRPr="00C575ED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Намена за које се могу користити бесповратна средства</w:t>
      </w:r>
    </w:p>
    <w:p w:rsidR="00690AAD" w:rsidRPr="00C575ED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690AAD" w:rsidRPr="00C575ED" w:rsidRDefault="00690AAD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Бесповратна средства која се додељују по овом Конкурсу намењена су за </w:t>
      </w:r>
      <w:r w:rsidR="00540F8D">
        <w:rPr>
          <w:rFonts w:ascii="Times New Roman" w:hAnsi="Times New Roman" w:cs="Times New Roman"/>
          <w:sz w:val="24"/>
          <w:szCs w:val="24"/>
          <w:lang w:val="sr-Cyrl-RS"/>
        </w:rPr>
        <w:t>подизање нових или обнављање постојећих (крчење и подизање) вишегодишњих засада воћака на територији општине Александровац у 2018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="00540F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пријаве може по</w:t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 xml:space="preserve">днети само једну пријаву </w:t>
      </w:r>
      <w:r w:rsidR="004C2923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 xml:space="preserve">за саднице </w:t>
      </w:r>
      <w:r w:rsidR="00156872">
        <w:rPr>
          <w:rFonts w:ascii="Times New Roman" w:hAnsi="Times New Roman" w:cs="Times New Roman"/>
          <w:sz w:val="24"/>
          <w:szCs w:val="24"/>
          <w:lang w:val="sr-Cyrl-RS"/>
        </w:rPr>
        <w:t xml:space="preserve">које нису </w:t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 xml:space="preserve">купљене </w:t>
      </w:r>
      <w:r w:rsidR="00156872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3D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8353D1" w:rsidRPr="008353D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C0979">
        <w:rPr>
          <w:rFonts w:ascii="Times New Roman" w:hAnsi="Times New Roman" w:cs="Times New Roman"/>
          <w:sz w:val="24"/>
          <w:szCs w:val="24"/>
          <w:lang w:val="sr-Cyrl-RS"/>
        </w:rPr>
        <w:t>. 2018</w:t>
      </w:r>
      <w:r w:rsidR="0015687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>Зах</w:t>
      </w:r>
      <w:r w:rsidR="00AF389D">
        <w:rPr>
          <w:rFonts w:ascii="Times New Roman" w:hAnsi="Times New Roman" w:cs="Times New Roman"/>
          <w:sz w:val="24"/>
          <w:szCs w:val="24"/>
          <w:lang w:val="sr-Cyrl-RS"/>
        </w:rPr>
        <w:t>тев се подноси од 14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D38B7">
        <w:rPr>
          <w:rFonts w:ascii="Times New Roman" w:hAnsi="Times New Roman" w:cs="Times New Roman"/>
          <w:sz w:val="24"/>
          <w:szCs w:val="24"/>
          <w:lang w:val="sr-Cyrl-RS"/>
        </w:rPr>
        <w:t>маја до 5</w:t>
      </w:r>
      <w:r w:rsidR="001C09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38B7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</w:p>
    <w:p w:rsidR="00CB7A05" w:rsidRDefault="00CB7A05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Бесповратна средства, која се додељују из Програма, не могу се користити за: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="008E057D">
        <w:rPr>
          <w:rFonts w:ascii="Times New Roman" w:hAnsi="Times New Roman" w:cs="Times New Roman"/>
          <w:sz w:val="24"/>
          <w:szCs w:val="24"/>
          <w:lang w:val="sr-Cyrl-RS"/>
        </w:rPr>
        <w:t xml:space="preserve"> садни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>це купљене пре</w:t>
      </w:r>
      <w:r w:rsidR="001C097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353D1" w:rsidRPr="00AF389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>2018.године</w:t>
      </w:r>
      <w:r w:rsidR="004714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порезе, укључујући и порез на додату вредност; 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увоза, царине, шпедиције; 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плаћање путем компензације и цесије; 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промет између повезаних лица; 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новчане, финансијске казне и трошкове парничног поступка; 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банкарске провизије;</w:t>
      </w:r>
    </w:p>
    <w:p w:rsidR="006E40C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превоза; </w:t>
      </w:r>
    </w:p>
    <w:p w:rsidR="00CA6266" w:rsidRDefault="00CA6266" w:rsidP="001C09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доприносе у натури. </w:t>
      </w:r>
    </w:p>
    <w:p w:rsidR="001C0979" w:rsidRPr="0041783B" w:rsidRDefault="001C0979" w:rsidP="001C09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266" w:rsidRPr="00431A3C" w:rsidRDefault="00431A3C" w:rsidP="00792ABE">
      <w:pPr>
        <w:tabs>
          <w:tab w:val="left" w:pos="4040"/>
          <w:tab w:val="center" w:pos="5487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A6266"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Право учешћа на конкурсу</w:t>
      </w:r>
    </w:p>
    <w:p w:rsidR="00CA6266" w:rsidRPr="00431A3C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CA6266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266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Право на коришћење бесповратних средстава имају физичка лица носиоци регистрованог комерцијалног породичног пољопривредног газдинства</w:t>
      </w:r>
      <w:r w:rsidR="0047141D">
        <w:rPr>
          <w:rFonts w:ascii="Times New Roman" w:hAnsi="Times New Roman" w:cs="Times New Roman"/>
          <w:sz w:val="24"/>
          <w:szCs w:val="24"/>
          <w:lang w:val="sr-Cyrl-RS"/>
        </w:rPr>
        <w:t xml:space="preserve"> са активним статусом, пред</w:t>
      </w:r>
      <w:r w:rsidR="00C705A6">
        <w:rPr>
          <w:rFonts w:ascii="Times New Roman" w:hAnsi="Times New Roman" w:cs="Times New Roman"/>
          <w:sz w:val="24"/>
          <w:szCs w:val="24"/>
          <w:lang w:val="sr-Cyrl-RS"/>
        </w:rPr>
        <w:t>узетници и правна лице уписана и</w:t>
      </w:r>
      <w:r w:rsidR="0047141D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регистрована у националном регистру пољопривредних газдинстава у складу са Законом о пољопривреди и руралном развоју, са територије општине Александровац</w:t>
      </w:r>
      <w:r w:rsidR="00C705A6">
        <w:rPr>
          <w:rFonts w:ascii="Times New Roman" w:hAnsi="Times New Roman" w:cs="Times New Roman"/>
          <w:sz w:val="24"/>
          <w:szCs w:val="24"/>
          <w:lang w:val="sr-Cyrl-RS"/>
        </w:rPr>
        <w:t xml:space="preserve"> и производњом на територији општине Александровац</w:t>
      </w:r>
      <w:r w:rsidR="004714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141D" w:rsidRPr="0041783B" w:rsidRDefault="0047141D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266" w:rsidRPr="00431A3C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учешће на конкурсу</w:t>
      </w:r>
    </w:p>
    <w:p w:rsidR="00CA6266" w:rsidRPr="00431A3C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CA6266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Услови за учешће на Конкурсу су следећи: </w:t>
      </w: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1. Подносилац пријаве треба да има регистровано пољопривредно газдинство уписано у Регистар пољопривредних газдинстава, са активним статусом; </w:t>
      </w: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2. Подносилац пријаве мора б</w:t>
      </w:r>
      <w:r w:rsidR="0047141D">
        <w:rPr>
          <w:rFonts w:ascii="Times New Roman" w:hAnsi="Times New Roman" w:cs="Times New Roman"/>
          <w:sz w:val="24"/>
          <w:szCs w:val="24"/>
          <w:lang w:val="sr-Cyrl-RS"/>
        </w:rPr>
        <w:t>ити са територије општине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и производњом </w:t>
      </w:r>
      <w:r w:rsidR="0047141D"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3. За предузетника и правно лице: регистровано пољопривредно газдинство мора бити уписано у Регистар пољопривредних га</w:t>
      </w:r>
      <w:r w:rsidR="00172AC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динстава и налазити се у активном статусу, мора бити регистровано у Агенцији за привредне регистре и бавити се делатношћу за коју конкурише. Задруге морају имати најмање пет задругара чланова задруге који су у складу са Правилником уписани у Регистар пољопривредних газдинстава и налазе се у активном статусу;</w:t>
      </w: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4. Подносилац пријаве за инвестицију за коју подноси захтев не може да користи подстицаје по неком другом основу (субвенције, подстицаји, донације), односно ако иста инвестиција није предмет другог по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>ступка за коришћење подстицаја.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5. Подносилац захтева мора да има измирене пореске обавезе и доспеле јавне дажбине према локалној самоуправи; </w:t>
      </w:r>
    </w:p>
    <w:p w:rsidR="00EB33E8" w:rsidRDefault="001C0979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Плаћање путем компензације и цесије неће бити признато. </w:t>
      </w:r>
    </w:p>
    <w:p w:rsidR="001C0979" w:rsidRDefault="001C0979" w:rsidP="001C09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A3C" w:rsidRPr="00431A3C" w:rsidRDefault="00431A3C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Услови у погледу површине производног засада</w:t>
      </w:r>
    </w:p>
    <w:p w:rsidR="00431A3C" w:rsidRPr="00431A3C" w:rsidRDefault="00431A3C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431A3C" w:rsidRDefault="00431A3C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A3C" w:rsidRDefault="00121D7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Прихватљиви корисници који имају п</w:t>
      </w:r>
      <w:r w:rsidR="00431A3C">
        <w:rPr>
          <w:rFonts w:ascii="Times New Roman" w:hAnsi="Times New Roman" w:cs="Times New Roman"/>
          <w:sz w:val="24"/>
          <w:szCs w:val="24"/>
          <w:lang w:val="sr-Cyrl-RS"/>
        </w:rPr>
        <w:t>раво на бесповратна средства за подизање нових или об</w:t>
      </w:r>
      <w:r w:rsidR="00172ACC">
        <w:rPr>
          <w:rFonts w:ascii="Times New Roman" w:hAnsi="Times New Roman" w:cs="Times New Roman"/>
          <w:sz w:val="24"/>
          <w:szCs w:val="24"/>
          <w:lang w:val="sr-Cyrl-RS"/>
        </w:rPr>
        <w:t>нављање постојећих (крчење и под</w:t>
      </w:r>
      <w:r w:rsidR="00431A3C">
        <w:rPr>
          <w:rFonts w:ascii="Times New Roman" w:hAnsi="Times New Roman" w:cs="Times New Roman"/>
          <w:sz w:val="24"/>
          <w:szCs w:val="24"/>
          <w:lang w:val="sr-Cyrl-RS"/>
        </w:rPr>
        <w:t>изање) вишегодишњих засада воћака су РПГ која на крај</w:t>
      </w:r>
      <w:r w:rsidR="00C705A6">
        <w:rPr>
          <w:rFonts w:ascii="Times New Roman" w:hAnsi="Times New Roman" w:cs="Times New Roman"/>
          <w:sz w:val="24"/>
          <w:szCs w:val="24"/>
          <w:lang w:val="sr-Cyrl-RS"/>
        </w:rPr>
        <w:t>у инвестиције имају најмање 0,3</w:t>
      </w:r>
      <w:r w:rsidR="00431A3C">
        <w:rPr>
          <w:rFonts w:ascii="Times New Roman" w:hAnsi="Times New Roman" w:cs="Times New Roman"/>
          <w:sz w:val="24"/>
          <w:szCs w:val="24"/>
          <w:lang w:val="sr-Cyrl-RS"/>
        </w:rPr>
        <w:t xml:space="preserve"> а највише 100</w:t>
      </w:r>
      <w:r w:rsidR="00431A3C"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 засадом воћа за које су поднели захтев</w:t>
      </w:r>
      <w:r w:rsidR="00431A3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21D74" w:rsidRDefault="00121D7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подстицаје оства</w:t>
      </w:r>
      <w:r w:rsidR="001C0979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 се за један или више подигнутих производних засада.</w:t>
      </w:r>
    </w:p>
    <w:p w:rsidR="00121D74" w:rsidRDefault="00121D7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Производни засад може да се налази на једној или више катастарских парцела, али катастарске парцеле морају да се налазе једна поред друге и да чине једну целину.</w:t>
      </w:r>
    </w:p>
    <w:p w:rsidR="00121D74" w:rsidRDefault="00121D7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1D74" w:rsidRPr="00756127" w:rsidRDefault="00121D74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6127">
        <w:rPr>
          <w:rFonts w:ascii="Times New Roman" w:hAnsi="Times New Roman" w:cs="Times New Roman"/>
          <w:b/>
          <w:sz w:val="24"/>
          <w:szCs w:val="24"/>
          <w:lang w:val="sr-Cyrl-RS"/>
        </w:rPr>
        <w:t>Услови у погледу броја посађених садница</w:t>
      </w:r>
    </w:p>
    <w:p w:rsidR="00121D74" w:rsidRPr="00756127" w:rsidRDefault="00121D74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6127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121D74" w:rsidRDefault="00121D7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121D7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Производни засад са савременом технологијом гајења мора да испуњава одговарајуће услове у погледу густине садње (броја посађених садница) за сваку воћну врсту</w:t>
      </w:r>
      <w:r w:rsidR="00756127">
        <w:rPr>
          <w:rFonts w:ascii="Times New Roman" w:hAnsi="Times New Roman" w:cs="Times New Roman"/>
          <w:sz w:val="24"/>
          <w:szCs w:val="24"/>
          <w:lang w:val="sr-Cyrl-RS"/>
        </w:rPr>
        <w:t>, који су дати у Прилогу – Табела густине садње производног зас</w:t>
      </w:r>
      <w:r w:rsidR="00AF389D">
        <w:rPr>
          <w:rFonts w:ascii="Times New Roman" w:hAnsi="Times New Roman" w:cs="Times New Roman"/>
          <w:sz w:val="24"/>
          <w:szCs w:val="24"/>
          <w:lang w:val="sr-Cyrl-RS"/>
        </w:rPr>
        <w:t>ада, који је одштампан уз овај П</w:t>
      </w:r>
      <w:r w:rsidR="00756127">
        <w:rPr>
          <w:rFonts w:ascii="Times New Roman" w:hAnsi="Times New Roman" w:cs="Times New Roman"/>
          <w:sz w:val="24"/>
          <w:szCs w:val="24"/>
          <w:lang w:val="sr-Cyrl-RS"/>
        </w:rPr>
        <w:t>равилник и чини његов саставни део.</w:t>
      </w:r>
    </w:p>
    <w:p w:rsidR="006E40CB" w:rsidRDefault="006E40CB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Pr="006E40CB" w:rsidRDefault="008E0734" w:rsidP="00792AB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</w:t>
      </w:r>
      <w:r w:rsidR="006E40CB" w:rsidRPr="006E40CB">
        <w:rPr>
          <w:rFonts w:ascii="Times New Roman" w:hAnsi="Times New Roman" w:cs="Times New Roman"/>
          <w:b/>
          <w:sz w:val="24"/>
          <w:szCs w:val="24"/>
          <w:lang w:val="sr-Cyrl-RS"/>
        </w:rPr>
        <w:t>Услови у погледу времена подизања засада</w:t>
      </w:r>
    </w:p>
    <w:p w:rsidR="006E40CB" w:rsidRPr="006E40CB" w:rsidRDefault="008E0734" w:rsidP="00792AB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</w:t>
      </w:r>
      <w:r w:rsidR="006E40CB" w:rsidRPr="006E40CB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6E40CB" w:rsidRDefault="006E40CB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6E40CB" w:rsidP="001C09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подстицаје остварују се под условом да је нови производни засад подигнут:</w:t>
      </w:r>
    </w:p>
    <w:p w:rsidR="001C0979" w:rsidRPr="001C0979" w:rsidRDefault="001C0979" w:rsidP="001C09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8353D1" w:rsidP="00792A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C0979">
        <w:rPr>
          <w:rFonts w:ascii="Times New Roman" w:hAnsi="Times New Roman" w:cs="Times New Roman"/>
          <w:sz w:val="24"/>
          <w:szCs w:val="24"/>
          <w:lang w:val="sr-Cyrl-RS"/>
        </w:rPr>
        <w:t xml:space="preserve"> четвртом кварталу, </w:t>
      </w:r>
      <w:r w:rsidR="00CB7A05" w:rsidRPr="00E32A02">
        <w:rPr>
          <w:rFonts w:ascii="Times New Roman" w:hAnsi="Times New Roman" w:cs="Times New Roman"/>
          <w:sz w:val="24"/>
          <w:szCs w:val="24"/>
          <w:lang w:val="sr-Cyrl-RS"/>
        </w:rPr>
        <w:t>текуће календарске године</w:t>
      </w:r>
      <w:r w:rsidR="00CB7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закључно са 30</w:t>
      </w:r>
      <w:r w:rsidR="001C0979">
        <w:rPr>
          <w:rFonts w:ascii="Times New Roman" w:hAnsi="Times New Roman" w:cs="Times New Roman"/>
          <w:sz w:val="24"/>
          <w:szCs w:val="24"/>
          <w:lang w:val="sr-Cyrl-RS"/>
        </w:rPr>
        <w:t>. 11. 2018.године</w:t>
      </w:r>
      <w:r w:rsidR="006E40CB" w:rsidRPr="00E32A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2A02" w:rsidRDefault="00E32A02" w:rsidP="00792A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2A02" w:rsidRPr="00E32A02" w:rsidRDefault="00C64D32" w:rsidP="00792AB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Подстицаји за  набавку</w:t>
      </w:r>
      <w:r w:rsidR="00E32A02" w:rsidRPr="00E32A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садница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воћака</w:t>
      </w:r>
    </w:p>
    <w:p w:rsidR="00E32A02" w:rsidRPr="00E32A02" w:rsidRDefault="00E32A02" w:rsidP="00792AB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2A02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:rsidR="00E32A02" w:rsidRDefault="00E32A02" w:rsidP="00792ABE">
      <w:pPr>
        <w:ind w:left="28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E32A02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Подстицаји за набавку садница воћака, обухватају подршку подизању нових производних засада са савременом технологијом гајења воћака, кроз накнаду</w:t>
      </w:r>
      <w:r w:rsidR="00EE5F97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прихватљивих трош</w:t>
      </w:r>
      <w:r>
        <w:rPr>
          <w:rFonts w:ascii="Times New Roman" w:hAnsi="Times New Roman" w:cs="Times New Roman"/>
          <w:sz w:val="24"/>
          <w:szCs w:val="24"/>
          <w:lang w:val="sr-Cyrl-RS"/>
        </w:rPr>
        <w:t>кова набавке садница воћака.</w:t>
      </w:r>
    </w:p>
    <w:p w:rsidR="00C64D32" w:rsidRDefault="00C64D32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Прихватљиви трошкови набавке садница воћака одобравају се као накнада дела трошкова, купљених, плаћених и посађених садница, у одговарајућем процентуалном износу, без урачунтог пореза на додату вредност.</w:t>
      </w:r>
    </w:p>
    <w:p w:rsidR="00EE5F97" w:rsidRPr="007A7EA2" w:rsidRDefault="00EE5F97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 трошкови </w:t>
      </w:r>
      <w:r w:rsidR="00C64D32">
        <w:rPr>
          <w:rFonts w:ascii="Times New Roman" w:hAnsi="Times New Roman" w:cs="Times New Roman"/>
          <w:sz w:val="24"/>
          <w:szCs w:val="24"/>
          <w:lang w:val="sr-Cyrl-RS"/>
        </w:rPr>
        <w:t>из става 1. овог члана односе се на набавку стандардних и стандардних СА садница ( у даљем тексту: стандардне саднице) или сертификованих садница воћака, које су набављене од правног лица, односно предузетника уписаних у Регистар произвођача садног материјала, у складу са Законом којим се уређује садни материјал воћака, које су посађене у одговарајућој густини садње по хектару.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431A3C" w:rsidRDefault="008E0734" w:rsidP="00792AB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</w:t>
      </w:r>
      <w:r w:rsidR="00CA6266"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</w:t>
      </w:r>
    </w:p>
    <w:p w:rsidR="00EB33E8" w:rsidRPr="00431A3C" w:rsidRDefault="008E0734" w:rsidP="00792AB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</w:t>
      </w:r>
      <w:r w:rsidR="00690AAD"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32A02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CA6266" w:rsidRPr="00431A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38B" w:rsidRDefault="00B9438B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Читко попуњен образац </w:t>
      </w:r>
      <w:r w:rsidR="00CB7A05">
        <w:rPr>
          <w:rFonts w:ascii="Times New Roman" w:hAnsi="Times New Roman" w:cs="Times New Roman"/>
          <w:sz w:val="24"/>
          <w:szCs w:val="24"/>
          <w:lang w:val="sr-Cyrl-RS"/>
        </w:rPr>
        <w:t>пријаве који чини саставни део К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онкурса. Образац 1; </w:t>
      </w: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2. Фотокопија личне карте или очитана чипована лична карта за носиоца РПГ, односно овлашћеног лица у пр</w:t>
      </w:r>
      <w:r w:rsidR="00881EE1">
        <w:rPr>
          <w:rFonts w:ascii="Times New Roman" w:hAnsi="Times New Roman" w:cs="Times New Roman"/>
          <w:sz w:val="24"/>
          <w:szCs w:val="24"/>
          <w:lang w:val="sr-Cyrl-RS"/>
        </w:rPr>
        <w:t>авном лицу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9438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3. Фотокопија картице наменског текућег рачуна; </w:t>
      </w:r>
    </w:p>
    <w:p w:rsidR="003D6504" w:rsidRDefault="003D650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7A7E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3D1">
        <w:rPr>
          <w:rFonts w:ascii="Times New Roman" w:hAnsi="Times New Roman" w:cs="Times New Roman"/>
          <w:sz w:val="24"/>
          <w:szCs w:val="24"/>
          <w:lang w:val="sr-Cyrl-RS"/>
        </w:rPr>
        <w:t>Предрачун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мора да гласи на име подносиоца захтева на коме је јасно исказана основна цена кош</w:t>
      </w:r>
      <w:r w:rsidR="008353D1">
        <w:rPr>
          <w:rFonts w:ascii="Times New Roman" w:hAnsi="Times New Roman" w:cs="Times New Roman"/>
          <w:sz w:val="24"/>
          <w:szCs w:val="24"/>
          <w:lang w:val="sr-Cyrl-RS"/>
        </w:rPr>
        <w:t>тања, ПДВ и укупна цена плаћања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трошкова. </w:t>
      </w:r>
    </w:p>
    <w:p w:rsidR="003D6504" w:rsidRDefault="003D650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Ако издавалац рачуна није у систему ПДВ-а, тај податак мора да буде јасно наведен на </w:t>
      </w:r>
      <w:r w:rsidR="008353D1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>рачуну;</w:t>
      </w:r>
    </w:p>
    <w:p w:rsidR="00B9438B" w:rsidRDefault="0009319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>. Потврда о активном статусу регистрованог п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за 2018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 xml:space="preserve"> коју издаје Управа за трезор; </w:t>
      </w:r>
    </w:p>
    <w:p w:rsidR="003D6504" w:rsidRDefault="0009319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81EE1">
        <w:rPr>
          <w:rFonts w:ascii="Times New Roman" w:hAnsi="Times New Roman" w:cs="Times New Roman"/>
          <w:sz w:val="24"/>
          <w:szCs w:val="24"/>
          <w:lang w:val="sr-Cyrl-RS"/>
        </w:rPr>
        <w:t>. Извод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из Регистра по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 xml:space="preserve">љопривредних газдинстава </w:t>
      </w:r>
      <w:r w:rsidR="00EB6A11">
        <w:rPr>
          <w:rFonts w:ascii="Times New Roman" w:hAnsi="Times New Roman" w:cs="Times New Roman"/>
          <w:sz w:val="24"/>
          <w:szCs w:val="24"/>
          <w:lang w:val="sr-Cyrl-RS"/>
        </w:rPr>
        <w:t xml:space="preserve">са биљном структуром </w:t>
      </w:r>
      <w:r w:rsidR="00881EE1">
        <w:rPr>
          <w:rFonts w:ascii="Times New Roman" w:hAnsi="Times New Roman" w:cs="Times New Roman"/>
          <w:sz w:val="24"/>
          <w:szCs w:val="24"/>
          <w:lang w:val="sr-Cyrl-RS"/>
        </w:rPr>
        <w:t xml:space="preserve"> и катастарским парцелама 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 xml:space="preserve">за 2018. </w:t>
      </w:r>
      <w:r w:rsidR="005D378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5D3786">
        <w:rPr>
          <w:rFonts w:ascii="Times New Roman" w:hAnsi="Times New Roman" w:cs="Times New Roman"/>
          <w:sz w:val="24"/>
          <w:szCs w:val="24"/>
          <w:lang w:val="sr-Cyrl-RS"/>
        </w:rPr>
        <w:t>, коју издаје Управа за трезор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9438B" w:rsidRDefault="0009319F" w:rsidP="00CB7A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>. Потписана и оверена изјава да за предметну инвестицију не користи подстицаје по неком другом основу (субвенције, подстицаји, донације), односно ако иста инвестиција није предмет другог поступка за кор</w:t>
      </w:r>
      <w:r w:rsidR="00B9438B">
        <w:rPr>
          <w:rFonts w:ascii="Times New Roman" w:hAnsi="Times New Roman" w:cs="Times New Roman"/>
          <w:sz w:val="24"/>
          <w:szCs w:val="24"/>
          <w:lang w:val="sr-Cyrl-RS"/>
        </w:rPr>
        <w:t>ишћење подстицаја,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2; </w:t>
      </w:r>
    </w:p>
    <w:p w:rsidR="00B9438B" w:rsidRDefault="0009319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Уверење о измиреним пореским обавезама и доспелим јавним дажбинама издато од стране надлежног органа јединице локалне самоуправе, не старије од 3 месеца; </w:t>
      </w:r>
    </w:p>
    <w:p w:rsidR="000C2551" w:rsidRDefault="0009319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D6504">
        <w:rPr>
          <w:rFonts w:ascii="Times New Roman" w:hAnsi="Times New Roman" w:cs="Times New Roman"/>
          <w:sz w:val="24"/>
          <w:szCs w:val="24"/>
          <w:lang w:val="sr-Cyrl-RS"/>
        </w:rPr>
        <w:t>.Инвестициона сагласност, односно одобрење Министарства</w:t>
      </w:r>
      <w:r w:rsidR="000C2551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пољопривреде, шумарства и водопривреде</w:t>
      </w:r>
      <w:r w:rsidR="003D6504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0C2551">
        <w:rPr>
          <w:rFonts w:ascii="Times New Roman" w:hAnsi="Times New Roman" w:cs="Times New Roman"/>
          <w:sz w:val="24"/>
          <w:szCs w:val="24"/>
          <w:lang w:val="sr-Cyrl-RS"/>
        </w:rPr>
        <w:t xml:space="preserve"> подизање вишегодишњих засада на закупљеном пољопривредном земљишту у државној својини;</w:t>
      </w:r>
    </w:p>
    <w:p w:rsidR="000C2551" w:rsidRDefault="0009319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C2551">
        <w:rPr>
          <w:rFonts w:ascii="Times New Roman" w:hAnsi="Times New Roman" w:cs="Times New Roman"/>
          <w:sz w:val="24"/>
          <w:szCs w:val="24"/>
          <w:lang w:val="sr-Cyrl-RS"/>
        </w:rPr>
        <w:t>.Уговор о закупу, односно коришћењу, ако је производни засад подигнут на закупљеном земљишту или земљишту за које је склопљен уговор о коришћењу оверен код надлежног органа;</w:t>
      </w:r>
    </w:p>
    <w:p w:rsidR="000C2551" w:rsidRDefault="0009319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C2551">
        <w:rPr>
          <w:rFonts w:ascii="Times New Roman" w:hAnsi="Times New Roman" w:cs="Times New Roman"/>
          <w:sz w:val="24"/>
          <w:szCs w:val="24"/>
          <w:lang w:val="sr-Cyrl-RS"/>
        </w:rPr>
        <w:t>. Сва потребна документа</w:t>
      </w:r>
      <w:r w:rsidR="00085F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2551">
        <w:rPr>
          <w:rFonts w:ascii="Times New Roman" w:hAnsi="Times New Roman" w:cs="Times New Roman"/>
          <w:sz w:val="24"/>
          <w:szCs w:val="24"/>
          <w:lang w:val="sr-Cyrl-RS"/>
        </w:rPr>
        <w:t>морају да гласе на подносиоца захтева  и прилажу се у ориги</w:t>
      </w:r>
      <w:r w:rsidR="00881EE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C2551">
        <w:rPr>
          <w:rFonts w:ascii="Times New Roman" w:hAnsi="Times New Roman" w:cs="Times New Roman"/>
          <w:sz w:val="24"/>
          <w:szCs w:val="24"/>
          <w:lang w:val="sr-Cyrl-RS"/>
        </w:rPr>
        <w:t>алу или као оверена копија;</w:t>
      </w:r>
    </w:p>
    <w:p w:rsidR="000C2551" w:rsidRDefault="0009319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C2551">
        <w:rPr>
          <w:rFonts w:ascii="Times New Roman" w:hAnsi="Times New Roman" w:cs="Times New Roman"/>
          <w:sz w:val="24"/>
          <w:szCs w:val="24"/>
          <w:lang w:val="sr-Cyrl-RS"/>
        </w:rPr>
        <w:t>.Документа издата на страном језику морају да буду преведена на српски језик код овлашћеног судског тумача;</w:t>
      </w:r>
    </w:p>
    <w:p w:rsidR="00431A3C" w:rsidRDefault="00CB7A05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09319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31A3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31A3C">
        <w:rPr>
          <w:rFonts w:ascii="Times New Roman" w:hAnsi="Times New Roman" w:cs="Times New Roman"/>
          <w:sz w:val="24"/>
          <w:szCs w:val="24"/>
          <w:lang w:val="sr-Cyrl-RS"/>
        </w:rPr>
        <w:t>Јединствена царинска исправа за увозне саднице.</w:t>
      </w:r>
    </w:p>
    <w:p w:rsidR="009C06C7" w:rsidRPr="00431A3C" w:rsidRDefault="009C06C7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15.Копија плана и извод из катастра непокретности (са подацима о власништву, теретима и ограничењима) препис листа непокретности, односно препис поседовног листа, за све катастарске парцеле које су предмет захтева.</w:t>
      </w:r>
    </w:p>
    <w:p w:rsidR="003D6504" w:rsidRDefault="003D6504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2551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Додатна обавезна документација за правна лица: </w:t>
      </w:r>
    </w:p>
    <w:p w:rsidR="000C2551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1. Извод из Агенције за привредне регистре не старији од три месеца од дана подношења захтева; </w:t>
      </w:r>
    </w:p>
    <w:p w:rsidR="000C2551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2. Фотокопија потврде о пореском идентификационом броју; </w:t>
      </w:r>
    </w:p>
    <w:p w:rsidR="000C2551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3. Отворен посебан наменски подрачун код Управе за трезор или поднет захтев за исти; </w:t>
      </w:r>
    </w:p>
    <w:p w:rsidR="000C2551" w:rsidRDefault="000C2551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 могу се предати у оригиналу или као оверене фотокопије. 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792ABE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 о додели бесповратних средстава</w:t>
      </w:r>
    </w:p>
    <w:p w:rsidR="00EB33E8" w:rsidRPr="00792ABE" w:rsidRDefault="00690AAD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64D32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CA6266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F27" w:rsidRDefault="00CA6266" w:rsidP="005D378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Поднете пријаве ра</w:t>
      </w:r>
      <w:r w:rsidR="00EB6A11">
        <w:rPr>
          <w:rFonts w:ascii="Times New Roman" w:hAnsi="Times New Roman" w:cs="Times New Roman"/>
          <w:sz w:val="24"/>
          <w:szCs w:val="24"/>
          <w:lang w:val="sr-Cyrl-RS"/>
        </w:rPr>
        <w:t>зматра и предлаже расподелу и коришћење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подстицајних средстава за инвестиције у физичка средства пољопривредн</w:t>
      </w:r>
      <w:r w:rsidR="00560933">
        <w:rPr>
          <w:rFonts w:ascii="Times New Roman" w:hAnsi="Times New Roman" w:cs="Times New Roman"/>
          <w:sz w:val="24"/>
          <w:szCs w:val="24"/>
          <w:lang w:val="sr-Cyrl-RS"/>
        </w:rPr>
        <w:t>их газдинстава</w:t>
      </w:r>
      <w:r w:rsidR="00C5000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D3786" w:rsidRPr="005D3786">
        <w:rPr>
          <w:rFonts w:ascii="Times New Roman" w:hAnsi="Times New Roman" w:cs="Times New Roman"/>
          <w:sz w:val="24"/>
          <w:szCs w:val="24"/>
          <w:lang w:val="sr-Cyrl-RS"/>
        </w:rPr>
        <w:t>подизање нових или обнављање постојећих (крчење и подизање), вишегодишњих засада воћа у 2018.години на територији општине Александровац</w:t>
      </w:r>
      <w:r w:rsidR="00C500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37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78E0" w:rsidRPr="00F578E0">
        <w:rPr>
          <w:rFonts w:ascii="Times New Roman" w:hAnsi="Times New Roman" w:cs="Times New Roman"/>
          <w:sz w:val="24"/>
          <w:szCs w:val="24"/>
          <w:lang w:val="sr-Cyrl-CS"/>
        </w:rPr>
        <w:t>Комисија за подстицање развоја пољопривреде општине Александровац</w:t>
      </w:r>
      <w:r w:rsidR="00F578E0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231">
        <w:rPr>
          <w:rFonts w:ascii="Times New Roman" w:hAnsi="Times New Roman" w:cs="Times New Roman"/>
          <w:sz w:val="24"/>
          <w:szCs w:val="24"/>
          <w:lang w:val="sr-Cyrl-RS"/>
        </w:rPr>
        <w:t>(даље Комисија) коју обр</w:t>
      </w:r>
      <w:r w:rsidR="00EB6A11">
        <w:rPr>
          <w:rFonts w:ascii="Times New Roman" w:hAnsi="Times New Roman" w:cs="Times New Roman"/>
          <w:sz w:val="24"/>
          <w:szCs w:val="24"/>
          <w:lang w:val="sr-Cyrl-RS"/>
        </w:rPr>
        <w:t>азује начелник општинске управе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. Комисија прво врши административну контролу ради утврђивања да ли је захтев потпун, поднет на време и да ли су услови</w:t>
      </w:r>
      <w:r w:rsidR="00BE2463">
        <w:rPr>
          <w:rFonts w:ascii="Times New Roman" w:hAnsi="Times New Roman" w:cs="Times New Roman"/>
          <w:sz w:val="24"/>
          <w:szCs w:val="24"/>
          <w:lang w:val="sr-Cyrl-RS"/>
        </w:rPr>
        <w:t xml:space="preserve"> за одобравање захтева испуњени</w:t>
      </w:r>
      <w:r w:rsidR="00BE2463" w:rsidRPr="00BE24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2463">
        <w:rPr>
          <w:rFonts w:ascii="Times New Roman" w:hAnsi="Times New Roman" w:cs="Times New Roman"/>
          <w:sz w:val="24"/>
          <w:szCs w:val="24"/>
          <w:lang w:val="sr-Cyrl-RS"/>
        </w:rPr>
        <w:t>а потом излази на терен</w:t>
      </w:r>
      <w:r w:rsidR="003A1F23">
        <w:rPr>
          <w:rFonts w:ascii="Times New Roman" w:hAnsi="Times New Roman" w:cs="Times New Roman"/>
          <w:sz w:val="24"/>
          <w:szCs w:val="24"/>
          <w:lang w:val="sr-Cyrl-RS"/>
        </w:rPr>
        <w:t xml:space="preserve">и и проверава стање парцеле (да ли је извршена адекватна припрема </w:t>
      </w:r>
      <w:r w:rsidR="00384F68">
        <w:rPr>
          <w:rFonts w:ascii="Times New Roman" w:hAnsi="Times New Roman" w:cs="Times New Roman"/>
          <w:sz w:val="24"/>
          <w:szCs w:val="24"/>
          <w:lang w:val="sr-Cyrl-RS"/>
        </w:rPr>
        <w:t xml:space="preserve">земљишта </w:t>
      </w:r>
      <w:r w:rsidR="003A1F23">
        <w:rPr>
          <w:rFonts w:ascii="Times New Roman" w:hAnsi="Times New Roman" w:cs="Times New Roman"/>
          <w:sz w:val="24"/>
          <w:szCs w:val="24"/>
          <w:lang w:val="sr-Cyrl-RS"/>
        </w:rPr>
        <w:t>за садњу</w:t>
      </w:r>
      <w:r w:rsidR="00384F68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0009" w:rsidRDefault="00C50009" w:rsidP="005D378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Корисник који има неуредну и непотпуну документацију обавештава се да у року од пет дана допуни и исправи исту, у противном пријава се неће разматрати.</w:t>
      </w:r>
    </w:p>
    <w:p w:rsidR="00085F27" w:rsidRDefault="00560933" w:rsidP="005C3F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Рангирање, 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>се одређује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редоследу подношења захтева, односно предност 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>добија онај са ранијим датумом подношења потпуног захтева. У случају када је поднет мањи број захтева, који испуњава</w:t>
      </w:r>
      <w:r w:rsidR="00881EE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услове и који су прихватљиви, од расположивих средстава за подршку, ранг листа неће бити креирана. </w:t>
      </w:r>
    </w:p>
    <w:p w:rsidR="00085F27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Комисија има обавезу да најмање једном месечно разматра пријаве</w:t>
      </w:r>
      <w:r w:rsidR="00085F27" w:rsidRPr="00085F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5F2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085F27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непосредни увид на терену, којим се проверавају подаци из захтева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и о томе сачини записник на основу критеријума утврђених Прав</w:t>
      </w:r>
      <w:r w:rsidR="00085F27">
        <w:rPr>
          <w:rFonts w:ascii="Times New Roman" w:hAnsi="Times New Roman" w:cs="Times New Roman"/>
          <w:sz w:val="24"/>
          <w:szCs w:val="24"/>
          <w:lang w:val="sr-Cyrl-RS"/>
        </w:rPr>
        <w:t>илником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. Комисија задржава право да од подносиоца пријаве затражи додатне информације и документацију</w:t>
      </w:r>
      <w:r w:rsidR="00085F27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 поднетом документациј</w:t>
      </w:r>
      <w:r w:rsidR="00085F27">
        <w:rPr>
          <w:rFonts w:ascii="Times New Roman" w:hAnsi="Times New Roman" w:cs="Times New Roman"/>
          <w:sz w:val="24"/>
          <w:szCs w:val="24"/>
        </w:rPr>
        <w:t>o</w:t>
      </w:r>
      <w:r w:rsidR="00085F2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5F27">
        <w:rPr>
          <w:rFonts w:ascii="Times New Roman" w:hAnsi="Times New Roman" w:cs="Times New Roman"/>
          <w:sz w:val="24"/>
          <w:szCs w:val="24"/>
          <w:lang w:val="sr-Cyrl-RS"/>
        </w:rPr>
        <w:t>које су неопходне за одлучивање</w:t>
      </w:r>
      <w:r w:rsidR="00085F27" w:rsidRPr="00085F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49BF" w:rsidRPr="00085F27" w:rsidRDefault="008549BF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комисије врше контролу реализације по поднетој пријави из Конкурса, излазе на терен и о томе </w:t>
      </w:r>
      <w:r w:rsidR="008E1895">
        <w:rPr>
          <w:rFonts w:ascii="Times New Roman" w:hAnsi="Times New Roman" w:cs="Times New Roman"/>
          <w:sz w:val="24"/>
          <w:szCs w:val="24"/>
          <w:lang w:val="sr-Cyrl-RS"/>
        </w:rPr>
        <w:t>сачине записник. У случају да корисник није испунио обавезе, тј. није припремио земљиште за садњу пријава се неће разматрати.</w:t>
      </w:r>
    </w:p>
    <w:p w:rsidR="004739A7" w:rsidRDefault="004739A7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одо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брених подстицајних средстава по доношењу Решења о додели бесповратних сред</w:t>
      </w:r>
      <w:r w:rsidR="00E9570F">
        <w:rPr>
          <w:rFonts w:ascii="Times New Roman" w:hAnsi="Times New Roman" w:cs="Times New Roman"/>
          <w:sz w:val="24"/>
          <w:szCs w:val="24"/>
          <w:lang w:val="sr-Cyrl-RS"/>
        </w:rPr>
        <w:t xml:space="preserve">става вршиће Одељење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финансије</w:t>
      </w:r>
      <w:r w:rsidR="00E9570F">
        <w:rPr>
          <w:rFonts w:ascii="Times New Roman" w:hAnsi="Times New Roman" w:cs="Times New Roman"/>
          <w:sz w:val="24"/>
          <w:szCs w:val="24"/>
          <w:lang w:val="sr-Cyrl-RS"/>
        </w:rPr>
        <w:t xml:space="preserve"> и локално економски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5F27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Резултати Конкурса бић</w:t>
      </w:r>
      <w:r w:rsidR="005F4F01">
        <w:rPr>
          <w:rFonts w:ascii="Times New Roman" w:hAnsi="Times New Roman" w:cs="Times New Roman"/>
          <w:sz w:val="24"/>
          <w:szCs w:val="24"/>
          <w:lang w:val="sr-Cyrl-RS"/>
        </w:rPr>
        <w:t xml:space="preserve">е објављени на званичном сајту општине Александровац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1783B">
        <w:rPr>
          <w:rFonts w:ascii="Times New Roman" w:hAnsi="Times New Roman" w:cs="Times New Roman"/>
          <w:sz w:val="24"/>
          <w:szCs w:val="24"/>
        </w:rPr>
        <w:t>www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4F01">
        <w:rPr>
          <w:rFonts w:ascii="Times New Roman" w:hAnsi="Times New Roman" w:cs="Times New Roman"/>
          <w:sz w:val="24"/>
          <w:szCs w:val="24"/>
          <w:lang w:val="sr-Latn-RS"/>
        </w:rPr>
        <w:t>aleksandrovac.rs.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Одлуком о додели средстава утврдиће се појединачни износи средстава по подносиоцу пријаве ком су одобрена средства (у даљем тексту: Корисник средстава), а подносиоцима пријаве којима средства нису одобрена навешће се разлози одбијања.</w:t>
      </w:r>
    </w:p>
    <w:p w:rsidR="00EB33E8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Коначну одлуку о до</w:t>
      </w:r>
      <w:r w:rsidR="005F4F01">
        <w:rPr>
          <w:rFonts w:ascii="Times New Roman" w:hAnsi="Times New Roman" w:cs="Times New Roman"/>
          <w:sz w:val="24"/>
          <w:szCs w:val="24"/>
          <w:lang w:val="sr-Cyrl-RS"/>
        </w:rPr>
        <w:t>дели средстава доноси начелник општ</w:t>
      </w:r>
      <w:r w:rsidR="00665D1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F4F01">
        <w:rPr>
          <w:rFonts w:ascii="Times New Roman" w:hAnsi="Times New Roman" w:cs="Times New Roman"/>
          <w:sz w:val="24"/>
          <w:szCs w:val="24"/>
          <w:lang w:val="sr-Cyrl-RS"/>
        </w:rPr>
        <w:t xml:space="preserve">нске управе општине Александровац, 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предлога Комисије. Одлука је коначна и против ње се не може изјавити жалба, нити се може водити управни спор. Бесповратна средства додељиваће се по пристиглим пријавама, све до утрошка средстава опредељених Конкурсом.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33E8" w:rsidRPr="00792ABE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 за доделу бесповратних средстава</w:t>
      </w:r>
    </w:p>
    <w:p w:rsidR="00EB33E8" w:rsidRPr="00792ABE" w:rsidRDefault="00C64D32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Члан 12</w:t>
      </w:r>
      <w:r w:rsidR="00CA6266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Комисија даје предлог за доделу бесповратних средстава на основу поднете</w:t>
      </w:r>
      <w:r w:rsidR="00E42D20">
        <w:rPr>
          <w:rFonts w:ascii="Times New Roman" w:hAnsi="Times New Roman" w:cs="Times New Roman"/>
          <w:sz w:val="24"/>
          <w:szCs w:val="24"/>
          <w:lang w:val="sr-Cyrl-RS"/>
        </w:rPr>
        <w:t xml:space="preserve"> комплетне и исправне документације, </w:t>
      </w:r>
      <w:r w:rsidR="008E1895">
        <w:rPr>
          <w:rFonts w:ascii="Times New Roman" w:hAnsi="Times New Roman" w:cs="Times New Roman"/>
          <w:sz w:val="24"/>
          <w:szCs w:val="24"/>
          <w:lang w:val="sr-Cyrl-RS"/>
        </w:rPr>
        <w:t xml:space="preserve">провере стања на терену </w:t>
      </w:r>
      <w:r w:rsidR="00E42D20">
        <w:rPr>
          <w:rFonts w:ascii="Times New Roman" w:hAnsi="Times New Roman" w:cs="Times New Roman"/>
          <w:sz w:val="24"/>
          <w:szCs w:val="24"/>
          <w:lang w:val="sr-Cyrl-RS"/>
        </w:rPr>
        <w:t>и редоследа подношења исте</w:t>
      </w:r>
      <w:r w:rsidR="00A260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6083" w:rsidRPr="0041783B" w:rsidRDefault="00A26083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792ABE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Поступање с непотпуним пријавама</w:t>
      </w:r>
    </w:p>
    <w:p w:rsidR="00EB33E8" w:rsidRPr="00792ABE" w:rsidRDefault="00690AAD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64D32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CA6266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D20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неће разматрати пријаве: </w:t>
      </w:r>
    </w:p>
    <w:p w:rsidR="00E42D20" w:rsidRPr="008549BF" w:rsidRDefault="00CA6266" w:rsidP="00854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49BF">
        <w:rPr>
          <w:rFonts w:ascii="Times New Roman" w:hAnsi="Times New Roman" w:cs="Times New Roman"/>
          <w:sz w:val="24"/>
          <w:szCs w:val="24"/>
          <w:lang w:val="sr-Cyrl-RS"/>
        </w:rPr>
        <w:t>непотпуне пријаве</w:t>
      </w:r>
      <w:r w:rsidR="00155FBF" w:rsidRPr="008549B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54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5FBF" w:rsidRPr="008549BF" w:rsidRDefault="00CA6266" w:rsidP="00854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49BF">
        <w:rPr>
          <w:rFonts w:ascii="Times New Roman" w:hAnsi="Times New Roman" w:cs="Times New Roman"/>
          <w:sz w:val="24"/>
          <w:szCs w:val="24"/>
          <w:lang w:val="sr-Cyrl-RS"/>
        </w:rPr>
        <w:t>поднете од лица која немају</w:t>
      </w:r>
      <w:r w:rsidR="00155FBF" w:rsidRPr="008549BF">
        <w:rPr>
          <w:rFonts w:ascii="Times New Roman" w:hAnsi="Times New Roman" w:cs="Times New Roman"/>
          <w:sz w:val="24"/>
          <w:szCs w:val="24"/>
          <w:lang w:val="sr-Cyrl-RS"/>
        </w:rPr>
        <w:t xml:space="preserve"> право да учествују на Конкурсу;</w:t>
      </w:r>
      <w:r w:rsidRPr="00854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5FBF" w:rsidRPr="00155FBF" w:rsidRDefault="00155FBF" w:rsidP="00155F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5FBF">
        <w:rPr>
          <w:rFonts w:ascii="Times New Roman" w:hAnsi="Times New Roman" w:cs="Times New Roman"/>
          <w:sz w:val="24"/>
          <w:szCs w:val="24"/>
          <w:lang w:val="sr-Cyrl-RS"/>
        </w:rPr>
        <w:t>од лица која нису извршила адекватну припрему земљишта за садњу;</w:t>
      </w:r>
    </w:p>
    <w:p w:rsidR="00EB33E8" w:rsidRPr="008549BF" w:rsidRDefault="00CA6266" w:rsidP="008549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49BF">
        <w:rPr>
          <w:rFonts w:ascii="Times New Roman" w:hAnsi="Times New Roman" w:cs="Times New Roman"/>
          <w:sz w:val="24"/>
          <w:szCs w:val="24"/>
          <w:lang w:val="sr-Cyrl-RS"/>
        </w:rPr>
        <w:t>које су поднете након истека рока који је прописан Конкурсом.</w:t>
      </w:r>
    </w:p>
    <w:p w:rsidR="00EB33E8" w:rsidRPr="00C575ED" w:rsidRDefault="00EB33E8" w:rsidP="00C575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33E8" w:rsidRPr="00792ABE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Исплата бесповратних средстава</w:t>
      </w:r>
    </w:p>
    <w:p w:rsidR="00EB33E8" w:rsidRPr="00792ABE" w:rsidRDefault="00690AAD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64D32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CA6266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Бесповратна средства исплаћују се након контроле извршене од стран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>е овлашћ</w:t>
      </w:r>
      <w:r w:rsidR="004739A7">
        <w:rPr>
          <w:rFonts w:ascii="Times New Roman" w:hAnsi="Times New Roman" w:cs="Times New Roman"/>
          <w:sz w:val="24"/>
          <w:szCs w:val="24"/>
          <w:lang w:val="sr-Cyrl-RS"/>
        </w:rPr>
        <w:t>еног лица Општине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. Бесповратна средства ће се исплаћивати у складу с приливом средстава у буџет Општ</w:t>
      </w:r>
      <w:r w:rsidR="00AA18C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>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792ABE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Обавезе корисника средстава</w:t>
      </w:r>
    </w:p>
    <w:p w:rsidR="00EB33E8" w:rsidRPr="00792ABE" w:rsidRDefault="00690AAD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64D32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CA6266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6FA1" w:rsidRDefault="00226FA1" w:rsidP="00226F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је дужан да по извршеној реализацији пројекта достави рачун</w:t>
      </w:r>
      <w:r w:rsidR="007D38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33A5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</w:t>
      </w:r>
      <w:r w:rsidR="007D38B7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156872">
        <w:rPr>
          <w:rFonts w:ascii="Times New Roman" w:hAnsi="Times New Roman" w:cs="Times New Roman"/>
          <w:sz w:val="24"/>
          <w:szCs w:val="24"/>
          <w:lang w:val="sr-Cyrl-RS"/>
        </w:rPr>
        <w:t>децемба 2018.године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6266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Уз рачун прилаже се фискални исечак, односно оверена потврда о преносу средстава, односно оверен извод из банке.</w:t>
      </w:r>
    </w:p>
    <w:p w:rsidR="00226FA1" w:rsidRDefault="00226FA1" w:rsidP="00226F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издавалац рачуна није у систему ПДВ-а, тај податак мора да буде јасно наведен на рачуну.</w:t>
      </w:r>
    </w:p>
    <w:p w:rsidR="00226FA1" w:rsidRDefault="00226FA1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>Потврда банке о преносу средстава или извод (оверени од стране банке) у сличају када је плаћање извршено безготовинско;</w:t>
      </w:r>
    </w:p>
    <w:p w:rsidR="003724C2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бесповратних средстава по конкурсу дужан је да: </w:t>
      </w:r>
    </w:p>
    <w:p w:rsidR="00EB33E8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Сву документацију која је у вези са инвестицијом, чува најмање пет година од дана исплате подстицаја. Корисник бесповратних средстава по Конкурсу за кога се утврди да није поступао у складу са </w:t>
      </w:r>
      <w:r w:rsidR="004739A7">
        <w:rPr>
          <w:rFonts w:ascii="Times New Roman" w:hAnsi="Times New Roman" w:cs="Times New Roman"/>
          <w:sz w:val="24"/>
          <w:szCs w:val="24"/>
          <w:lang w:val="sr-Cyrl-RS"/>
        </w:rPr>
        <w:t>одредбама тог конкурса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, корисник бесповратних средстава који је онемогућио к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>онтролу од стране Општине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, достављањем нетачних података,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  <w:r w:rsidR="00F578E0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 нема право да најмање седам година отуђи подигнуте засаде.</w:t>
      </w:r>
    </w:p>
    <w:p w:rsidR="00EB33E8" w:rsidRPr="0041783B" w:rsidRDefault="00EB33E8" w:rsidP="006E7F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4739A7" w:rsidRDefault="00C575ED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Праћење извршавања обавеза из Конкурса</w:t>
      </w:r>
    </w:p>
    <w:p w:rsidR="00EB33E8" w:rsidRPr="00792ABE" w:rsidRDefault="00C64D32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Члан 17</w:t>
      </w:r>
      <w:r w:rsidR="00CA6266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B33E8" w:rsidRPr="0041783B" w:rsidRDefault="00EB33E8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0AAD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Административну контролу, односно испуњеност обавеза из</w:t>
      </w:r>
      <w:r w:rsidR="00C575ED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Конкурса</w:t>
      </w:r>
      <w:r w:rsidR="006E7F01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Комисија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7F01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ће спровести контролу свих пројектних активности. Корисник средстава је том приликом у обавези да члановима Комисије стави на увид сва документа која су у вези са реализ</w:t>
      </w:r>
      <w:r w:rsidR="00172ACC">
        <w:rPr>
          <w:rFonts w:ascii="Times New Roman" w:hAnsi="Times New Roman" w:cs="Times New Roman"/>
          <w:sz w:val="24"/>
          <w:szCs w:val="24"/>
          <w:lang w:val="sr-Cyrl-RS"/>
        </w:rPr>
        <w:t>ацијом пројекта и омогући контролу парцеле са засађеним садницама.</w:t>
      </w:r>
      <w:r w:rsidR="006E7F01">
        <w:rPr>
          <w:rFonts w:ascii="Times New Roman" w:hAnsi="Times New Roman" w:cs="Times New Roman"/>
          <w:sz w:val="24"/>
          <w:szCs w:val="24"/>
          <w:lang w:val="sr-Cyrl-RS"/>
        </w:rPr>
        <w:t>У колико се у поступку контроле посумња у постојање било каквих неправилности у вези са набавком садница</w:t>
      </w:r>
      <w:r w:rsidR="00172ACC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 пројектним активностима, Комисија ће предложити начелнику општинске управе општине Александровац да о томе обавести Министарство унутрашњих послова и друге надлежне органе.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Стање на терену проверава се и током пет (5) година након преноса средстава, а спроводи 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>је овлашћено лице Општине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0AAD" w:rsidRPr="0041783B" w:rsidRDefault="00690AAD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0AAD" w:rsidRPr="00792ABE" w:rsidRDefault="00CA6266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Завршне одредбе</w:t>
      </w:r>
    </w:p>
    <w:p w:rsidR="00690AAD" w:rsidRPr="00792ABE" w:rsidRDefault="00C64D32" w:rsidP="00792A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Члан 18</w:t>
      </w:r>
      <w:r w:rsidR="00CA6266" w:rsidRPr="00792A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90AAD" w:rsidRPr="0041783B" w:rsidRDefault="00690AAD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0AAD" w:rsidRPr="0041783B" w:rsidRDefault="00CA6266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 ступа на снагу оног дана када га п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>отпише начелник Општинске управе  општине Александровац</w:t>
      </w:r>
      <w:r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90AAD" w:rsidRDefault="00690AAD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D20" w:rsidRPr="0041783B" w:rsidRDefault="00A3025E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НАЧЕЛНИК ОПШТИНСКЕ УПРАВЕ </w:t>
      </w:r>
    </w:p>
    <w:p w:rsidR="00690AAD" w:rsidRDefault="00A3025E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="00132084">
        <w:rPr>
          <w:rFonts w:ascii="Times New Roman" w:hAnsi="Times New Roman" w:cs="Times New Roman"/>
          <w:sz w:val="24"/>
          <w:szCs w:val="24"/>
          <w:lang w:val="sr-Cyrl-RS"/>
        </w:rPr>
        <w:t>Број: 320-14/2018-06  од  7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2084">
        <w:rPr>
          <w:rFonts w:ascii="Times New Roman" w:hAnsi="Times New Roman" w:cs="Times New Roman"/>
          <w:sz w:val="24"/>
          <w:szCs w:val="24"/>
          <w:lang w:val="sr-Cyrl-RS"/>
        </w:rPr>
        <w:t xml:space="preserve"> маја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42D2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E42D20" w:rsidRDefault="00E42D20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D20" w:rsidRPr="0041783B" w:rsidRDefault="00E42D20" w:rsidP="00792A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266" w:rsidRPr="0041783B" w:rsidRDefault="00F578E0" w:rsidP="00F578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A302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Обрадила                                                                         </w:t>
      </w:r>
      <w:r w:rsidR="00A3025E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</w:t>
      </w:r>
      <w:r w:rsidR="00690AAD" w:rsidRPr="00417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0AAD" w:rsidRDefault="00F578E0" w:rsidP="00792A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Радица Џамић Старинац,дипл.инж       </w:t>
      </w:r>
      <w:r w:rsidR="00E42D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690AAD" w:rsidRPr="0047141D">
        <w:rPr>
          <w:rFonts w:ascii="Times New Roman" w:hAnsi="Times New Roman" w:cs="Times New Roman"/>
          <w:sz w:val="24"/>
          <w:szCs w:val="24"/>
          <w:lang w:val="sr-Cyrl-RS"/>
        </w:rPr>
        <w:t>Иван Новаковић</w:t>
      </w:r>
      <w:r w:rsidR="00A3025E">
        <w:rPr>
          <w:rFonts w:ascii="Times New Roman" w:hAnsi="Times New Roman" w:cs="Times New Roman"/>
          <w:sz w:val="24"/>
          <w:szCs w:val="24"/>
          <w:lang w:val="sr-Cyrl-RS"/>
        </w:rPr>
        <w:t>, дипл</w:t>
      </w:r>
      <w:r w:rsidR="00E42D20">
        <w:rPr>
          <w:rFonts w:ascii="Times New Roman" w:hAnsi="Times New Roman" w:cs="Times New Roman"/>
          <w:sz w:val="24"/>
          <w:szCs w:val="24"/>
          <w:lang w:val="sr-Cyrl-RS"/>
        </w:rPr>
        <w:t>.прав</w:t>
      </w:r>
    </w:p>
    <w:p w:rsidR="00756127" w:rsidRDefault="00756127" w:rsidP="00792A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756127" w:rsidP="00792A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756127" w:rsidP="00E42D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756127" w:rsidP="00E42D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756127" w:rsidP="00E42D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756127" w:rsidP="00E42D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756127" w:rsidP="00E42D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A31844" w:rsidP="00A3184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57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                                           </w:t>
      </w:r>
      <w:r w:rsidR="00756127">
        <w:rPr>
          <w:rFonts w:ascii="Times New Roman" w:hAnsi="Times New Roman" w:cs="Times New Roman"/>
          <w:sz w:val="24"/>
          <w:szCs w:val="24"/>
          <w:lang w:val="sr-Cyrl-RS"/>
        </w:rPr>
        <w:t xml:space="preserve">П Р И Л О Г </w:t>
      </w:r>
    </w:p>
    <w:p w:rsidR="006E40CB" w:rsidRDefault="006E40CB" w:rsidP="00756127">
      <w:pPr>
        <w:ind w:left="79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6E40CB" w:rsidP="00756127">
      <w:pPr>
        <w:ind w:left="79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6E40CB" w:rsidP="00756127">
      <w:pPr>
        <w:ind w:left="79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40CB" w:rsidRDefault="006E40CB" w:rsidP="00756127">
      <w:pPr>
        <w:ind w:left="79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127" w:rsidRDefault="00756127" w:rsidP="006E40C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ТАБЕЛА ГУСТИНЕ САДЊЕ ПРОИЗВОДНОГ ЗАСАДА</w:t>
      </w:r>
    </w:p>
    <w:p w:rsidR="00756127" w:rsidRDefault="00756127" w:rsidP="0075612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6127" w:rsidRDefault="00756127" w:rsidP="0075612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6127" w:rsidRPr="00F0568D" w:rsidRDefault="00756127" w:rsidP="0075612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377"/>
        <w:gridCol w:w="2690"/>
        <w:gridCol w:w="2734"/>
      </w:tblGrid>
      <w:tr w:rsidR="00756127" w:rsidRPr="005C3F00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Производни засад воћака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Минимални број посађених садница по хектару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Максимални број посађених садница по хектару</w:t>
            </w:r>
          </w:p>
        </w:tc>
      </w:tr>
      <w:tr w:rsidR="00756127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Јабука на вегетативној подлози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1 600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4 500</w:t>
            </w:r>
          </w:p>
        </w:tc>
      </w:tr>
      <w:tr w:rsidR="00756127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Јабука на генеративној подлози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400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1.000</w:t>
            </w:r>
          </w:p>
        </w:tc>
      </w:tr>
      <w:tr w:rsidR="00756127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Крушка на вегетативној подлози без посредника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1 250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4 500</w:t>
            </w:r>
          </w:p>
        </w:tc>
      </w:tr>
      <w:tr w:rsidR="00756127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Крушка на вегетативној подлози са посредником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1 250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4 500</w:t>
            </w:r>
          </w:p>
        </w:tc>
      </w:tr>
      <w:tr w:rsidR="00756127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Крушка на генеративној подлози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800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1 600</w:t>
            </w:r>
          </w:p>
        </w:tc>
      </w:tr>
      <w:tr w:rsidR="00756127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Шљива на вегетативној подлози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1 200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2 500</w:t>
            </w:r>
          </w:p>
        </w:tc>
      </w:tr>
      <w:tr w:rsidR="00756127" w:rsidTr="00EB6A11">
        <w:tc>
          <w:tcPr>
            <w:tcW w:w="534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210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Шљива на генеративној подлози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400</w:t>
            </w:r>
          </w:p>
        </w:tc>
        <w:tc>
          <w:tcPr>
            <w:tcW w:w="3872" w:type="dxa"/>
          </w:tcPr>
          <w:p w:rsidR="00756127" w:rsidRDefault="00756127" w:rsidP="00EB6A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1 500</w:t>
            </w:r>
          </w:p>
        </w:tc>
      </w:tr>
    </w:tbl>
    <w:p w:rsidR="00756127" w:rsidRPr="0047141D" w:rsidRDefault="00756127" w:rsidP="00E42D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6127" w:rsidRPr="0047141D" w:rsidSect="00A6795F">
      <w:footerReference w:type="default" r:id="rId10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72" w:rsidRDefault="00156872" w:rsidP="001C0979">
      <w:r>
        <w:separator/>
      </w:r>
    </w:p>
  </w:endnote>
  <w:endnote w:type="continuationSeparator" w:id="0">
    <w:p w:rsidR="00156872" w:rsidRDefault="00156872" w:rsidP="001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138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872" w:rsidRDefault="00156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F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6872" w:rsidRDefault="0015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72" w:rsidRDefault="00156872" w:rsidP="001C0979">
      <w:r>
        <w:separator/>
      </w:r>
    </w:p>
  </w:footnote>
  <w:footnote w:type="continuationSeparator" w:id="0">
    <w:p w:rsidR="00156872" w:rsidRDefault="00156872" w:rsidP="001C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346"/>
    <w:multiLevelType w:val="hybridMultilevel"/>
    <w:tmpl w:val="DB6201FE"/>
    <w:lvl w:ilvl="0" w:tplc="081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C52427"/>
    <w:multiLevelType w:val="hybridMultilevel"/>
    <w:tmpl w:val="D79AD542"/>
    <w:lvl w:ilvl="0" w:tplc="7FE4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551B4"/>
    <w:multiLevelType w:val="hybridMultilevel"/>
    <w:tmpl w:val="24A0540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F"/>
    <w:rsid w:val="00085F27"/>
    <w:rsid w:val="0009319F"/>
    <w:rsid w:val="000C2551"/>
    <w:rsid w:val="000E2B92"/>
    <w:rsid w:val="00121D74"/>
    <w:rsid w:val="00132084"/>
    <w:rsid w:val="00155FBF"/>
    <w:rsid w:val="00156872"/>
    <w:rsid w:val="00172ACC"/>
    <w:rsid w:val="001C0979"/>
    <w:rsid w:val="00226FA1"/>
    <w:rsid w:val="00275429"/>
    <w:rsid w:val="00303614"/>
    <w:rsid w:val="00303FAB"/>
    <w:rsid w:val="0033088F"/>
    <w:rsid w:val="00331FB2"/>
    <w:rsid w:val="003724C2"/>
    <w:rsid w:val="00384F68"/>
    <w:rsid w:val="003A1F23"/>
    <w:rsid w:val="003D6504"/>
    <w:rsid w:val="00416CFF"/>
    <w:rsid w:val="0041783B"/>
    <w:rsid w:val="00431A3C"/>
    <w:rsid w:val="00444122"/>
    <w:rsid w:val="0047141D"/>
    <w:rsid w:val="004739A7"/>
    <w:rsid w:val="004933A5"/>
    <w:rsid w:val="004C2923"/>
    <w:rsid w:val="004D5CC0"/>
    <w:rsid w:val="00540F8D"/>
    <w:rsid w:val="00560933"/>
    <w:rsid w:val="005C3F00"/>
    <w:rsid w:val="005D3786"/>
    <w:rsid w:val="005F4F01"/>
    <w:rsid w:val="0063129A"/>
    <w:rsid w:val="00652960"/>
    <w:rsid w:val="00665D1B"/>
    <w:rsid w:val="00690AAD"/>
    <w:rsid w:val="006E40CB"/>
    <w:rsid w:val="006E7F01"/>
    <w:rsid w:val="00756127"/>
    <w:rsid w:val="00792ABE"/>
    <w:rsid w:val="007A7EA2"/>
    <w:rsid w:val="007D38B7"/>
    <w:rsid w:val="008353D1"/>
    <w:rsid w:val="008549BF"/>
    <w:rsid w:val="00881EE1"/>
    <w:rsid w:val="008E057D"/>
    <w:rsid w:val="008E0734"/>
    <w:rsid w:val="008E1895"/>
    <w:rsid w:val="00961231"/>
    <w:rsid w:val="0099772F"/>
    <w:rsid w:val="009C06C7"/>
    <w:rsid w:val="00A26083"/>
    <w:rsid w:val="00A3025E"/>
    <w:rsid w:val="00A31844"/>
    <w:rsid w:val="00A6795F"/>
    <w:rsid w:val="00A82EA8"/>
    <w:rsid w:val="00AA18CC"/>
    <w:rsid w:val="00AF389D"/>
    <w:rsid w:val="00B9438B"/>
    <w:rsid w:val="00BA3512"/>
    <w:rsid w:val="00BA7E5A"/>
    <w:rsid w:val="00BE2463"/>
    <w:rsid w:val="00C50009"/>
    <w:rsid w:val="00C575ED"/>
    <w:rsid w:val="00C64D32"/>
    <w:rsid w:val="00C705A6"/>
    <w:rsid w:val="00C80F15"/>
    <w:rsid w:val="00CA6266"/>
    <w:rsid w:val="00CB7A05"/>
    <w:rsid w:val="00DE703B"/>
    <w:rsid w:val="00E32A02"/>
    <w:rsid w:val="00E42D20"/>
    <w:rsid w:val="00E9570F"/>
    <w:rsid w:val="00EB33E8"/>
    <w:rsid w:val="00EB6A11"/>
    <w:rsid w:val="00EE5F97"/>
    <w:rsid w:val="00EF7BFE"/>
    <w:rsid w:val="00F578E0"/>
    <w:rsid w:val="00F80AF9"/>
    <w:rsid w:val="00F859FD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79"/>
  </w:style>
  <w:style w:type="paragraph" w:styleId="Footer">
    <w:name w:val="footer"/>
    <w:basedOn w:val="Normal"/>
    <w:link w:val="FooterChar"/>
    <w:uiPriority w:val="99"/>
    <w:unhideWhenUsed/>
    <w:rsid w:val="001C0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79"/>
  </w:style>
  <w:style w:type="paragraph" w:styleId="Footer">
    <w:name w:val="footer"/>
    <w:basedOn w:val="Normal"/>
    <w:link w:val="FooterChar"/>
    <w:uiPriority w:val="99"/>
    <w:unhideWhenUsed/>
    <w:rsid w:val="001C0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eksandr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9B92-1D9E-4B2C-B48B-F663F7B8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jdjokic</cp:lastModifiedBy>
  <cp:revision>8</cp:revision>
  <cp:lastPrinted>2018-05-11T09:51:00Z</cp:lastPrinted>
  <dcterms:created xsi:type="dcterms:W3CDTF">2018-05-10T08:21:00Z</dcterms:created>
  <dcterms:modified xsi:type="dcterms:W3CDTF">2018-05-14T11:28:00Z</dcterms:modified>
</cp:coreProperties>
</file>