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2" w:rsidRDefault="00EC0116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65CA2" w:rsidRDefault="00EC0116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65CA2" w:rsidRDefault="00EC0116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1" w:type="dxa"/>
        <w:tblInd w:w="1" w:type="dxa"/>
        <w:tblCellMar>
          <w:top w:w="7" w:type="dxa"/>
          <w:left w:w="59" w:type="dxa"/>
          <w:right w:w="98" w:type="dxa"/>
        </w:tblCellMar>
        <w:tblLook w:val="04A0" w:firstRow="1" w:lastRow="0" w:firstColumn="1" w:lastColumn="0" w:noHBand="0" w:noVBand="1"/>
      </w:tblPr>
      <w:tblGrid>
        <w:gridCol w:w="4420"/>
        <w:gridCol w:w="1812"/>
        <w:gridCol w:w="888"/>
        <w:gridCol w:w="372"/>
        <w:gridCol w:w="372"/>
        <w:gridCol w:w="372"/>
        <w:gridCol w:w="372"/>
        <w:gridCol w:w="407"/>
        <w:gridCol w:w="6"/>
      </w:tblGrid>
      <w:tr w:rsidR="00C65CA2" w:rsidTr="00DC3501">
        <w:trPr>
          <w:gridAfter w:val="1"/>
          <w:wAfter w:w="6" w:type="dxa"/>
          <w:trHeight w:val="278"/>
        </w:trPr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4F422B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EC011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30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5CA2" w:rsidRDefault="00EC0116">
            <w:pPr>
              <w:ind w:left="5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65CA2" w:rsidRPr="005F2E2A" w:rsidRDefault="00EC0116" w:rsidP="00DC39A3">
            <w:pPr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Pr="005F2E2A">
              <w:rPr>
                <w:rFonts w:ascii="Times New Roman" w:eastAsia="Times New Roman" w:hAnsi="Times New Roman" w:cs="Times New Roman"/>
                <w:b/>
              </w:rPr>
              <w:t xml:space="preserve">Република Србија МИНИСТАРСТВО ГРАЂЕВИНАРТСВА, </w:t>
            </w:r>
          </w:p>
          <w:p w:rsidR="005F2E2A" w:rsidRPr="005F2E2A" w:rsidRDefault="00EC0116" w:rsidP="005F2E2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</w:pPr>
            <w:r w:rsidRPr="005F2E2A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 </w:t>
            </w:r>
            <w:r w:rsidR="005F2E2A" w:rsidRPr="005F2E2A"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  <w:t>Сектор за инспекцијски надзор</w:t>
            </w:r>
          </w:p>
          <w:p w:rsidR="00C65CA2" w:rsidRDefault="005F2E2A" w:rsidP="005F2E2A">
            <w:pPr>
              <w:ind w:left="10"/>
              <w:jc w:val="center"/>
            </w:pPr>
            <w:r w:rsidRPr="005F2E2A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spacing w:after="2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ДЕЛАТНОСТ ЗООХИГИЈЕНЕ </w:t>
            </w:r>
          </w:p>
          <w:p w:rsidR="00C65CA2" w:rsidRDefault="00EC0116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C65CA2" w:rsidRDefault="00EC0116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2E2A" w:rsidRPr="004B16AF" w:rsidRDefault="005F2E2A" w:rsidP="005F2E2A">
            <w:pPr>
              <w:ind w:right="68"/>
              <w:jc w:val="center"/>
            </w:pPr>
            <w:r w:rsidRPr="004B16AF">
              <w:rPr>
                <w:i/>
              </w:rPr>
              <w:t xml:space="preserve">Закон о комуналним делатностима </w:t>
            </w:r>
          </w:p>
          <w:p w:rsidR="00C65CA2" w:rsidRDefault="005F2E2A" w:rsidP="005F2E2A">
            <w:pPr>
              <w:ind w:left="30"/>
              <w:jc w:val="center"/>
            </w:pPr>
            <w:r w:rsidRPr="004B16AF">
              <w:rPr>
                <w:i/>
              </w:rPr>
              <w:t>(</w:t>
            </w:r>
            <w:r w:rsidRPr="004B16AF">
              <w:rPr>
                <w:i/>
                <w:lang w:val="sr-Cyrl-RS"/>
              </w:rPr>
              <w:t>''</w:t>
            </w:r>
            <w:r w:rsidRPr="004B16AF">
              <w:rPr>
                <w:i/>
              </w:rPr>
              <w:t>Сл</w:t>
            </w:r>
            <w:r w:rsidRPr="004B16AF">
              <w:rPr>
                <w:i/>
                <w:lang w:val="sr-Cyrl-RS"/>
              </w:rPr>
              <w:t xml:space="preserve">ужбени </w:t>
            </w:r>
            <w:r w:rsidRPr="004B16AF">
              <w:rPr>
                <w:i/>
              </w:rPr>
              <w:t>гласник РС“, бр.88/11</w:t>
            </w:r>
            <w:r w:rsidRPr="004B16AF">
              <w:rPr>
                <w:i/>
                <w:lang w:val="sr-Cyrl-RS"/>
              </w:rPr>
              <w:t xml:space="preserve"> и 104/16</w:t>
            </w:r>
          </w:p>
        </w:tc>
      </w:tr>
      <w:tr w:rsidR="00C65CA2" w:rsidTr="00DC3501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CA2" w:rsidRDefault="00EC011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669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 w:rsidP="005F2E2A">
            <w:pPr>
              <w:ind w:left="357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јединици локалне самоуправе обавља комунална делатност зоохигијене? </w:t>
            </w:r>
          </w:p>
          <w:p w:rsidR="00C65CA2" w:rsidRDefault="00EC0116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 w:rsidP="004A7081">
            <w:pPr>
              <w:pStyle w:val="ListParagraph"/>
              <w:numPr>
                <w:ilvl w:val="0"/>
                <w:numId w:val="9"/>
              </w:numPr>
            </w:pPr>
            <w:r w:rsidRPr="004A7081">
              <w:rPr>
                <w:rFonts w:ascii="Webdings" w:eastAsia="Webdings" w:hAnsi="Webdings" w:cs="Webdings"/>
              </w:rPr>
              <w:t></w:t>
            </w:r>
            <w:r w:rsidRPr="004A7081">
              <w:rPr>
                <w:rFonts w:ascii="Times New Roman" w:eastAsia="Times New Roman" w:hAnsi="Times New Roman" w:cs="Times New Roman"/>
              </w:rPr>
              <w:t xml:space="preserve">  </w:t>
            </w:r>
            <w:r w:rsidR="004A7081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Pr="004A7081">
              <w:rPr>
                <w:rFonts w:ascii="Webdings" w:eastAsia="Webdings" w:hAnsi="Webdings" w:cs="Webdings"/>
              </w:rPr>
              <w:t></w:t>
            </w:r>
            <w:r w:rsidRPr="004A7081">
              <w:rPr>
                <w:rFonts w:ascii="Times New Roman" w:eastAsia="Times New Roman" w:hAnsi="Times New Roman" w:cs="Times New Roman"/>
              </w:rPr>
              <w:t xml:space="preserve">  </w:t>
            </w:r>
            <w:r w:rsidRPr="004A7081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C65CA2" w:rsidTr="00286063">
        <w:trPr>
          <w:gridAfter w:val="1"/>
          <w:wAfter w:w="6" w:type="dxa"/>
          <w:trHeight w:val="647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spacing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оквиру комуналне делатности зоохигијене врши: </w:t>
            </w:r>
          </w:p>
          <w:p w:rsidR="005F2E2A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 w:rsidRPr="005F2E2A">
              <w:rPr>
                <w:rFonts w:ascii="Times New Roman" w:eastAsia="Times New Roman" w:hAnsi="Times New Roman" w:cs="Times New Roman"/>
                <w:sz w:val="24"/>
              </w:rPr>
              <w:t>хватање напуштених и изгу</w:t>
            </w:r>
            <w:r w:rsidR="005F2E2A">
              <w:rPr>
                <w:rFonts w:ascii="Times New Roman" w:eastAsia="Times New Roman" w:hAnsi="Times New Roman" w:cs="Times New Roman"/>
                <w:sz w:val="24"/>
              </w:rPr>
              <w:t>бљених животиња (паса и мачака)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превоз напуштених и изгубљених животиња;</w:t>
            </w:r>
          </w:p>
          <w:p w:rsidR="005F2E2A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 w:rsidRPr="005F2E2A">
              <w:rPr>
                <w:rFonts w:ascii="Times New Roman" w:eastAsia="Times New Roman" w:hAnsi="Times New Roman" w:cs="Times New Roman"/>
                <w:sz w:val="24"/>
              </w:rPr>
              <w:t>збрињавање напуштених и изгубљених животиња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(паса и мачака);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смештај напуштених и изгубљених животиња (паса и мачака) у прихватилиштима;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контрола и смањење популације изгубљених и напуштених паса и мачака;</w:t>
            </w:r>
          </w:p>
          <w:p w:rsidR="00C65CA2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нешкодљиво уклањање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 транспорт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лешева животиња са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јавних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 објеката за узгој, држање, дресуру, излагање, одржавања такмичења или промет животиња до објеката за сакупљање,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прераду или уништавање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споредних производа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животињског порекла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 начин који не представља ризик по друге животиње, људе или животну средину;</w:t>
            </w:r>
          </w:p>
          <w:p w:rsidR="00C65CA2" w:rsidRDefault="005F2E2A" w:rsidP="007C5B03">
            <w:pPr>
              <w:pStyle w:val="ListParagraph"/>
              <w:numPr>
                <w:ilvl w:val="0"/>
                <w:numId w:val="4"/>
              </w:numPr>
            </w:pPr>
            <w:r w:rsidRPr="007C5B0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спровођење мера за смањење популације глодара, инсеката и штетних микроорганизама мерама дезинфекције, </w:t>
            </w:r>
            <w:r w:rsidR="007C5B03" w:rsidRPr="007C5B0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дезинсекције и дератизације на јавним површинама.</w:t>
            </w:r>
            <w:r w:rsidR="00EC0116" w:rsidRPr="007C5B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C65CA2" w:rsidRPr="00961532" w:rsidRDefault="00286063" w:rsidP="0096153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961532">
            <w:pPr>
              <w:pStyle w:val="ListParagraph"/>
              <w:numPr>
                <w:ilvl w:val="0"/>
                <w:numId w:val="9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286063" w:rsidP="00961532">
            <w:pPr>
              <w:pStyle w:val="ListParagraph"/>
              <w:numPr>
                <w:ilvl w:val="0"/>
                <w:numId w:val="9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961532">
            <w:pPr>
              <w:pStyle w:val="ListParagraph"/>
              <w:numPr>
                <w:ilvl w:val="0"/>
                <w:numId w:val="9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961532">
            <w:pPr>
              <w:pStyle w:val="ListParagraph"/>
              <w:numPr>
                <w:ilvl w:val="0"/>
                <w:numId w:val="9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/>
          <w:p w:rsidR="007C5B03" w:rsidRDefault="00286063" w:rsidP="00961532">
            <w:pPr>
              <w:pStyle w:val="ListParagraph"/>
              <w:numPr>
                <w:ilvl w:val="0"/>
                <w:numId w:val="9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7C5B03" w:rsidRPr="00961532">
              <w:rPr>
                <w:rFonts w:ascii="Webdings" w:eastAsia="Webdings" w:hAnsi="Webdings" w:cs="Webdings"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7C5B03" w:rsidRDefault="007C5B03" w:rsidP="007C5B03">
            <w:pPr>
              <w:ind w:left="45"/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ind w:left="45"/>
              <w:rPr>
                <w:rFonts w:ascii="Webdings" w:eastAsia="Webdings" w:hAnsi="Webdings" w:cs="Webdings"/>
              </w:rPr>
            </w:pPr>
          </w:p>
          <w:p w:rsidR="00286063" w:rsidRDefault="00286063" w:rsidP="007C5B03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7C5B03" w:rsidRDefault="00286063" w:rsidP="007C5B0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 w:rsidRPr="00961532">
              <w:rPr>
                <w:rFonts w:ascii="Webdings" w:eastAsia="Webdings" w:hAnsi="Webdings" w:cs="Webdings"/>
                <w:b/>
                <w:i/>
              </w:rPr>
              <w:t></w:t>
            </w:r>
            <w:r w:rsidR="007C5B03" w:rsidRPr="00961532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7C5B03" w:rsidRPr="0096153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C65CA2">
            <w:pPr>
              <w:ind w:left="45"/>
            </w:pP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C65CA2">
            <w:pPr>
              <w:ind w:left="45"/>
            </w:pPr>
          </w:p>
        </w:tc>
      </w:tr>
      <w:tr w:rsidR="00C65CA2" w:rsidTr="00DC3501">
        <w:trPr>
          <w:gridAfter w:val="1"/>
          <w:wAfter w:w="6" w:type="dxa"/>
          <w:trHeight w:val="109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 w:rsidP="00DC3501">
            <w:pPr>
              <w:ind w:left="357" w:right="17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3501">
              <w:rPr>
                <w:rFonts w:ascii="Times New Roman" w:eastAsia="Times New Roman" w:hAnsi="Times New Roman" w:cs="Times New Roman"/>
                <w:sz w:val="24"/>
              </w:rPr>
              <w:t>Који проценат територије 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зоохигијене? </w:t>
            </w:r>
          </w:p>
          <w:p w:rsidR="00C65CA2" w:rsidRDefault="00EC0116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286063" w:rsidP="00961532">
            <w:pPr>
              <w:pStyle w:val="ListParagraph"/>
              <w:numPr>
                <w:ilvl w:val="0"/>
                <w:numId w:val="10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DC3501" w:rsidRPr="00961532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Мање од 50% - 0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3501" w:rsidTr="00DC3501">
        <w:trPr>
          <w:gridAfter w:val="1"/>
          <w:wAfter w:w="6" w:type="dxa"/>
          <w:trHeight w:val="109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01" w:rsidRDefault="00DC3501" w:rsidP="00DC3501">
            <w:pPr>
              <w:ind w:left="357" w:right="17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4. Да ли је јединица локалне самоуправе својом Одлуком, у складу са статутом, предвидела да градска општина, месна заједница или други облици месне самоуправе обављају одређене послове у вези са обезбеђивањем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услова за обављање комуналне дел</w:t>
            </w:r>
            <w:r w:rsidR="00A375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атности зоохигијене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1" w:rsidRDefault="00DC3501">
            <w:pPr>
              <w:ind w:left="45"/>
              <w:rPr>
                <w:rFonts w:ascii="Webdings" w:eastAsia="Webdings" w:hAnsi="Webdings" w:cs="Webdings"/>
              </w:rPr>
            </w:pPr>
          </w:p>
          <w:p w:rsidR="00DC3501" w:rsidRDefault="00DC3501">
            <w:pPr>
              <w:ind w:left="45"/>
              <w:rPr>
                <w:rFonts w:ascii="Webdings" w:eastAsia="Webdings" w:hAnsi="Webdings" w:cs="Webdings"/>
              </w:rPr>
            </w:pPr>
          </w:p>
          <w:p w:rsidR="00DC3501" w:rsidRDefault="00DC3501">
            <w:pPr>
              <w:ind w:left="45"/>
              <w:rPr>
                <w:rFonts w:ascii="Webdings" w:eastAsia="Webdings" w:hAnsi="Webdings" w:cs="Webdings"/>
              </w:rPr>
            </w:pPr>
          </w:p>
          <w:p w:rsidR="00DC3501" w:rsidRPr="00961532" w:rsidRDefault="00286063" w:rsidP="00961532">
            <w:pPr>
              <w:pStyle w:val="ListParagraph"/>
              <w:numPr>
                <w:ilvl w:val="0"/>
                <w:numId w:val="10"/>
              </w:numPr>
              <w:rPr>
                <w:rFonts w:ascii="Webdings" w:eastAsia="Webdings" w:hAnsi="Webdings" w:cs="Webdings"/>
              </w:r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DC3501" w:rsidRPr="00961532">
              <w:rPr>
                <w:rFonts w:ascii="Webdings" w:eastAsia="Webdings" w:hAnsi="Webdings" w:cs="Webdings"/>
              </w:rPr>
              <w:t></w:t>
            </w:r>
            <w:r w:rsidR="00DC3501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DC3501" w:rsidRPr="00961532">
              <w:rPr>
                <w:rFonts w:ascii="Times New Roman" w:eastAsia="Times New Roman" w:hAnsi="Times New Roman" w:cs="Times New Roman"/>
                <w:sz w:val="24"/>
              </w:rPr>
              <w:t xml:space="preserve">Да       </w:t>
            </w:r>
            <w:r w:rsidR="00DC3501" w:rsidRPr="00961532">
              <w:rPr>
                <w:rFonts w:ascii="Webdings" w:eastAsia="Webdings" w:hAnsi="Webdings" w:cs="Webdings"/>
              </w:rPr>
              <w:t></w:t>
            </w:r>
            <w:r w:rsidR="00DC3501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DC3501" w:rsidRPr="00961532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C65CA2" w:rsidTr="00DC3501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5CA2" w:rsidRPr="00345280" w:rsidRDefault="00EC0116" w:rsidP="00CB176D">
            <w:pPr>
              <w:ind w:left="43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ВРШИОЦИ КОМУНАЛНЕ ДЕЛАТНОСТИ </w:t>
            </w:r>
            <w:r w:rsidR="0034528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ЗООХИГИЈЕНЕ</w:t>
            </w:r>
          </w:p>
        </w:tc>
      </w:tr>
      <w:tr w:rsidR="00C65CA2" w:rsidTr="00DC3501">
        <w:trPr>
          <w:gridAfter w:val="1"/>
          <w:wAfter w:w="6" w:type="dxa"/>
          <w:trHeight w:val="794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 </w:t>
            </w:r>
          </w:p>
          <w:p w:rsidR="00C65CA2" w:rsidRPr="00961532" w:rsidRDefault="00EC0116">
            <w:pPr>
              <w:ind w:left="4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5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ЈКСП "Александровац" Александровац</w:t>
            </w:r>
          </w:p>
          <w:p w:rsidR="00C65CA2" w:rsidRDefault="00EC011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65CA2" w:rsidRDefault="00EC0116">
            <w:pPr>
              <w:ind w:left="7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635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 w:rsidP="00DC3501">
            <w:pPr>
              <w:ind w:left="35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  <w:p w:rsidR="00C65CA2" w:rsidRDefault="00EC0116" w:rsidP="00DC3501">
            <w:pPr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 w:rsidP="00961532">
            <w:pPr>
              <w:pStyle w:val="ListParagraph"/>
              <w:numPr>
                <w:ilvl w:val="0"/>
                <w:numId w:val="10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 w:rsidRPr="009615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179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DC3501" w:rsidP="00DC350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20"/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17"/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привредно друштво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21"/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предузетник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други привредни субјект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65CA2" w:rsidP="00DC3501"/>
          <w:p w:rsidR="00DC3501" w:rsidRDefault="00DC3501">
            <w:pPr>
              <w:spacing w:after="19"/>
              <w:ind w:left="45"/>
              <w:rPr>
                <w:rFonts w:ascii="Webdings" w:eastAsia="Webdings" w:hAnsi="Webdings" w:cs="Webdings"/>
              </w:rPr>
            </w:pPr>
          </w:p>
          <w:p w:rsidR="00C65CA2" w:rsidRDefault="00286063" w:rsidP="00961532">
            <w:pPr>
              <w:pStyle w:val="ListParagraph"/>
              <w:numPr>
                <w:ilvl w:val="0"/>
                <w:numId w:val="10"/>
              </w:numPr>
              <w:spacing w:after="19"/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Да     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C65CA2" w:rsidRDefault="00286063" w:rsidP="00286063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C65CA2" w:rsidRDefault="00286063" w:rsidP="00286063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CA2" w:rsidTr="00DC3501">
        <w:trPr>
          <w:trHeight w:val="1784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 w:rsidP="00DC3501">
            <w:pPr>
              <w:spacing w:line="278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зоохигијене извршено на основу: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6"/>
              </w:numPr>
              <w:spacing w:line="277" w:lineRule="auto"/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6"/>
              </w:numPr>
            </w:pPr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  <w:p w:rsidR="00C65CA2" w:rsidRDefault="00EC011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CA2" w:rsidRDefault="00EC0116">
            <w:pPr>
              <w:spacing w:after="11"/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C65CA2" w:rsidRDefault="00EC0116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3501" w:rsidTr="00DC3501">
        <w:trPr>
          <w:trHeight w:val="776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1" w:rsidRDefault="00DC3501" w:rsidP="00CB176D">
            <w:pPr>
              <w:ind w:left="48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ЗООХИГИЈЕНЕ</w:t>
            </w:r>
          </w:p>
          <w:p w:rsidR="00DC3501" w:rsidRDefault="00DC3501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</w:tr>
      <w:tr w:rsidR="00DC3501" w:rsidTr="00DC3501">
        <w:trPr>
          <w:trHeight w:val="128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1" w:rsidRPr="00DC3501" w:rsidRDefault="00DC3501" w:rsidP="00DC3501">
            <w:pPr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9.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</w:t>
            </w:r>
            <w:r w:rsidR="00A375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ости зоохигијене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01" w:rsidRDefault="00DC3501" w:rsidP="00DC3501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2860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961532">
              <w:rPr>
                <w:rFonts w:ascii="Webdings" w:eastAsia="Webdings" w:hAnsi="Webdings" w:cs="Webdings"/>
                <w:b/>
                <w:i/>
              </w:rPr>
              <w:t></w:t>
            </w:r>
            <w:r w:rsidRPr="00961532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96153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501" w:rsidRDefault="00DC3501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</w:tr>
      <w:tr w:rsidR="00C65CA2">
        <w:trPr>
          <w:trHeight w:val="702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5CA2" w:rsidRDefault="00EC0116" w:rsidP="00CB176D">
            <w:pPr>
              <w:spacing w:after="2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ДЕЛАТНОСТИ И</w:t>
            </w:r>
          </w:p>
          <w:p w:rsidR="00C65CA2" w:rsidRDefault="00CB176D" w:rsidP="00777B55">
            <w:pPr>
              <w:spacing w:after="2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КОРИСНИКА КОМУНАЛНЕ УСЛУГ </w:t>
            </w:r>
            <w:r w:rsidR="00EC0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ЗООХИГИЈЕНЕ</w:t>
            </w:r>
          </w:p>
        </w:tc>
      </w:tr>
      <w:tr w:rsidR="00C65CA2" w:rsidTr="000A2A90">
        <w:trPr>
          <w:trHeight w:val="1400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618B5" w:rsidP="000A2A90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Да ли је Скупштина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длукама прописала начин обављања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зоохигијене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 и обавезе вршилаца комуналне делатности...?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 w:rsidP="00961532">
            <w:pPr>
              <w:pStyle w:val="ListParagraph"/>
              <w:numPr>
                <w:ilvl w:val="0"/>
                <w:numId w:val="10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Pr="00961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0A2A90" w:rsidTr="000A2A90">
        <w:trPr>
          <w:trHeight w:val="1109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55" w:rsidRDefault="000A2A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Навести назив Одлука којима је прописан начин обављања комуналне делатности</w:t>
            </w:r>
          </w:p>
          <w:p w:rsidR="000A4F5F" w:rsidRPr="000A4F5F" w:rsidRDefault="00777B55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0A2A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37598"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и Службени лист  (гласник) у којима су објављене?</w:t>
            </w:r>
          </w:p>
          <w:p w:rsidR="000A4F5F" w:rsidRDefault="000A4F5F" w:rsidP="000A4F5F">
            <w:pPr>
              <w:pStyle w:val="ListParagraph"/>
              <w:numPr>
                <w:ilvl w:val="0"/>
                <w:numId w:val="8"/>
              </w:numPr>
              <w:rPr>
                <w:rFonts w:ascii="Times New Roman" w:eastAsia="Webdings" w:hAnsi="Times New Roman" w:cs="Times New Roman"/>
                <w:lang w:val="sr-Cyrl-RS"/>
              </w:rPr>
            </w:pPr>
            <w:r w:rsidRPr="000A4F5F">
              <w:rPr>
                <w:rFonts w:ascii="Times New Roman" w:eastAsia="Webdings" w:hAnsi="Times New Roman" w:cs="Times New Roman"/>
                <w:lang w:val="sr-Cyrl-RS"/>
              </w:rPr>
              <w:t>Одлука о усклађивању Одлуке о оснивању Јавног комуналног стамбеног предузећа ''Александровац '' из Александровца са Законом о јавним предузећима</w:t>
            </w:r>
            <w:r>
              <w:rPr>
                <w:rFonts w:ascii="Times New Roman" w:eastAsia="Webdings" w:hAnsi="Times New Roman" w:cs="Times New Roman"/>
                <w:lang w:val="sr-Cyrl-RS"/>
              </w:rPr>
              <w:t xml:space="preserve"> ("Сл.лист општине Александровац" бр. </w:t>
            </w:r>
            <w:r w:rsidR="00961532">
              <w:rPr>
                <w:rFonts w:ascii="Times New Roman" w:eastAsia="Webdings" w:hAnsi="Times New Roman" w:cs="Times New Roman"/>
                <w:lang w:val="sr-Cyrl-RS"/>
              </w:rPr>
              <w:t>11/2016)</w:t>
            </w:r>
          </w:p>
          <w:p w:rsidR="00961532" w:rsidRPr="000A4F5F" w:rsidRDefault="00961532" w:rsidP="0096153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Webdings" w:hAnsi="Times New Roman" w:cs="Times New Roman"/>
                <w:lang w:val="sr-Cyrl-RS"/>
              </w:rPr>
            </w:pPr>
            <w:r w:rsidRPr="00961532">
              <w:rPr>
                <w:rFonts w:ascii="Times New Roman" w:eastAsia="Webdings" w:hAnsi="Times New Roman" w:cs="Times New Roman"/>
                <w:lang w:val="sr-Cyrl-RS"/>
              </w:rPr>
              <w:t>Програм контроле и смањења популације паса и мачака на територији општине Александровац</w:t>
            </w:r>
            <w:r>
              <w:rPr>
                <w:rFonts w:ascii="Times New Roman" w:eastAsia="Webdings" w:hAnsi="Times New Roman" w:cs="Times New Roman"/>
                <w:lang w:val="sr-Cyrl-RS"/>
              </w:rPr>
              <w:t xml:space="preserve"> </w:t>
            </w:r>
            <w:r w:rsidRPr="00961532">
              <w:rPr>
                <w:rFonts w:ascii="Times New Roman" w:eastAsia="Webdings" w:hAnsi="Times New Roman" w:cs="Times New Roman"/>
                <w:lang w:val="sr-Cyrl-RS"/>
              </w:rPr>
              <w:t>("Сл.лист општине Александровац" бр.</w:t>
            </w:r>
            <w:r>
              <w:rPr>
                <w:rFonts w:ascii="Times New Roman" w:eastAsia="Webdings" w:hAnsi="Times New Roman" w:cs="Times New Roman"/>
                <w:lang w:val="sr-Cyrl-RS"/>
              </w:rPr>
              <w:t xml:space="preserve"> 8/2016)</w:t>
            </w:r>
          </w:p>
        </w:tc>
      </w:tr>
      <w:tr w:rsidR="00C65CA2" w:rsidTr="000A2A90">
        <w:trPr>
          <w:trHeight w:val="982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 w:rsidP="000A2A90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 ли су прописане мере које је вршилац комуналне делатности дужан да предузме у случају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планираних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прекида у пружању комуналне услуге?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 w:rsidP="00961532">
            <w:pPr>
              <w:pStyle w:val="ListParagraph"/>
              <w:numPr>
                <w:ilvl w:val="0"/>
                <w:numId w:val="11"/>
              </w:numPr>
            </w:pPr>
            <w:r w:rsidRPr="00961532">
              <w:rPr>
                <w:rFonts w:ascii="Webdings" w:eastAsia="Webdings" w:hAnsi="Webdings" w:cs="Webdings"/>
                <w:lang w:val="sr-Cyrl-RS"/>
              </w:rPr>
              <w:t>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="009615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0116" w:rsidRPr="00961532">
              <w:rPr>
                <w:rFonts w:ascii="Webdings" w:eastAsia="Webdings" w:hAnsi="Webdings" w:cs="Webdings"/>
              </w:rPr>
              <w:t>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 w:rsidRPr="00961532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 w:rsidRPr="009615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5CA2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>
            <w:pPr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 и подзаконским актима?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Да-4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2A90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90" w:rsidRDefault="000A2A90" w:rsidP="00A37598">
            <w:pPr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Да ли је Скупштина јединице локалне самоуправе одредила начин конти</w:t>
            </w:r>
            <w:r w:rsidR="00A37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704B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ираног изјашњавања корисника комуна</w:t>
            </w:r>
            <w:r w:rsidR="00A37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лне услуге о квалитету и пружању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 </w:t>
            </w:r>
            <w:r w:rsidR="00A37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зоохигијене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стране вршиоца ове комуналне делатности?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90" w:rsidRDefault="00286063">
            <w:pPr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Да-1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0A2A90" w:rsidTr="000A4F5F">
        <w:trPr>
          <w:trHeight w:val="838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55" w:rsidRDefault="000A2A90" w:rsidP="000A2A9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</w:p>
          <w:p w:rsidR="000A2A90" w:rsidRPr="00E77464" w:rsidRDefault="00777B55" w:rsidP="000A2A9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0A2A90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0A2A90" w:rsidRPr="00961004" w:rsidRDefault="000A2A90" w:rsidP="000A2A90">
            <w:pPr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0A2A90" w:rsidRPr="000A2A90" w:rsidRDefault="000A2A90" w:rsidP="000A2A90">
            <w:pPr>
              <w:pStyle w:val="ListParagraph"/>
              <w:numPr>
                <w:ilvl w:val="0"/>
                <w:numId w:val="7"/>
              </w:numPr>
              <w:rPr>
                <w:rFonts w:ascii="Webdings" w:eastAsia="Webdings" w:hAnsi="Webdings" w:cs="Webdings"/>
              </w:rPr>
            </w:pPr>
            <w:r w:rsidRPr="000A2A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0A2A90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1" w:rsidRDefault="000A2A90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 </w:t>
            </w:r>
            <w:r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покренула</w:t>
            </w:r>
          </w:p>
          <w:p w:rsidR="00906211" w:rsidRDefault="00906211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0A2A90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поступак преиспитивања рада вршиоца комуналне</w:t>
            </w:r>
          </w:p>
          <w:p w:rsidR="00906211" w:rsidRDefault="00906211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0A2A90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делатности и налажила му да у року, не дужим од 90</w:t>
            </w:r>
          </w:p>
          <w:p w:rsidR="00906211" w:rsidRDefault="00906211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0A2A90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дана, отклони недостатке уколико су резултати</w:t>
            </w:r>
          </w:p>
          <w:p w:rsidR="00906211" w:rsidRDefault="00906211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0A2A90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изјашњавања корисника комуналних услуга такви да</w:t>
            </w:r>
          </w:p>
          <w:p w:rsidR="000A2A90" w:rsidRDefault="00906211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0A2A90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већина није задовољна пруженом комуналном услугом?                                                                      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90" w:rsidRDefault="00286063">
            <w:pPr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</w:tbl>
    <w:p w:rsidR="00C65CA2" w:rsidRDefault="00EC0116">
      <w:pPr>
        <w:spacing w:after="0"/>
      </w:pPr>
      <w:r>
        <w:t xml:space="preserve"> </w:t>
      </w:r>
    </w:p>
    <w:p w:rsidR="00345280" w:rsidRDefault="00345280">
      <w:pPr>
        <w:spacing w:after="0"/>
      </w:pPr>
    </w:p>
    <w:p w:rsidR="00C65CA2" w:rsidRDefault="00EC0116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0116" w:rsidRDefault="00EC0116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C65CA2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C65CA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65CA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8A543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</w:tr>
    </w:tbl>
    <w:p w:rsidR="00C65CA2" w:rsidRDefault="00EC0116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65CA2" w:rsidRDefault="00EC0116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EC0116" w:rsidRDefault="00EC0116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8A5432">
            <w:r>
              <w:rPr>
                <w:rFonts w:ascii="Times New Roman" w:eastAsia="Times New Roman" w:hAnsi="Times New Roman" w:cs="Times New Roman"/>
                <w:b/>
              </w:rPr>
              <w:t xml:space="preserve">          30-34</w:t>
            </w:r>
          </w:p>
        </w:tc>
      </w:tr>
      <w:tr w:rsidR="00C65CA2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24-29</w:t>
            </w:r>
            <w:r w:rsidR="00EC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18-23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12-17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r w:rsidR="00EC0116">
              <w:rPr>
                <w:rFonts w:ascii="Times New Roman" w:eastAsia="Times New Roman" w:hAnsi="Times New Roman" w:cs="Times New Roman"/>
                <w:b/>
              </w:rPr>
              <w:t xml:space="preserve">и мање </w:t>
            </w:r>
          </w:p>
        </w:tc>
      </w:tr>
    </w:tbl>
    <w:p w:rsidR="00C65CA2" w:rsidRDefault="00EC0116">
      <w:pPr>
        <w:spacing w:after="314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963AEF" w:rsidRDefault="00963AEF">
      <w:pPr>
        <w:spacing w:after="314"/>
      </w:pPr>
    </w:p>
    <w:p w:rsidR="00C65CA2" w:rsidRDefault="00EC0116">
      <w:pPr>
        <w:pStyle w:val="Heading1"/>
        <w:spacing w:after="159"/>
        <w:ind w:left="-5"/>
      </w:pPr>
      <w:r>
        <w:t xml:space="preserve">ПРИСУТНО ЛИЦЕ                                                               </w:t>
      </w:r>
      <w:r w:rsidR="00906211">
        <w:rPr>
          <w:lang w:val="sr-Cyrl-RS"/>
        </w:rPr>
        <w:t xml:space="preserve">  </w:t>
      </w:r>
      <w:r w:rsidR="00F640FC">
        <w:rPr>
          <w:lang w:val="sr-Cyrl-RS"/>
        </w:rP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5F1819">
        <w:rPr>
          <w:lang w:val="sr-Cyrl-RS"/>
        </w:rPr>
        <w:t xml:space="preserve">            </w:t>
      </w:r>
      <w:r w:rsidR="00906211">
        <w:t xml:space="preserve">  </w:t>
      </w:r>
      <w:r w:rsidR="00F640FC">
        <w:rPr>
          <w:lang w:val="sr-Cyrl-RS"/>
        </w:rPr>
        <w:t xml:space="preserve">                           </w:t>
      </w:r>
      <w:r w:rsidR="00906211">
        <w:rPr>
          <w:lang w:val="sr-Cyrl-RS"/>
        </w:rPr>
        <w:t xml:space="preserve"> </w:t>
      </w:r>
      <w:r w:rsidR="007A0996">
        <w:t xml:space="preserve">                           </w:t>
      </w:r>
      <w:bookmarkStart w:id="0" w:name="_GoBack"/>
      <w:bookmarkEnd w:id="0"/>
      <w:r w:rsidR="00906211">
        <w:t xml:space="preserve">КОМУНАЛНИ </w:t>
      </w:r>
      <w:r>
        <w:t xml:space="preserve"> </w:t>
      </w:r>
      <w:r w:rsidR="00906211">
        <w:t xml:space="preserve">ИНСПЕКТОР   </w:t>
      </w:r>
    </w:p>
    <w:p w:rsidR="00C65CA2" w:rsidRPr="00F640FC" w:rsidRDefault="00EC0116" w:rsidP="00906211">
      <w:pPr>
        <w:spacing w:after="15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640FC">
        <w:rPr>
          <w:rFonts w:ascii="Times New Roman" w:hAnsi="Times New Roman" w:cs="Times New Roman"/>
          <w:b/>
        </w:rPr>
        <w:t xml:space="preserve">____________________                       М.П.                          __________________________ </w:t>
      </w:r>
    </w:p>
    <w:p w:rsidR="00C65CA2" w:rsidRDefault="00EC0116">
      <w:pPr>
        <w:spacing w:after="0"/>
      </w:pPr>
      <w:r>
        <w:t xml:space="preserve"> </w:t>
      </w:r>
    </w:p>
    <w:sectPr w:rsidR="00C65CA2" w:rsidSect="00F640F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01"/>
    <w:multiLevelType w:val="hybridMultilevel"/>
    <w:tmpl w:val="90688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CB9"/>
    <w:multiLevelType w:val="hybridMultilevel"/>
    <w:tmpl w:val="1AD25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16B"/>
    <w:multiLevelType w:val="hybridMultilevel"/>
    <w:tmpl w:val="E2D00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7EBD"/>
    <w:multiLevelType w:val="hybridMultilevel"/>
    <w:tmpl w:val="A562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1B64"/>
    <w:multiLevelType w:val="hybridMultilevel"/>
    <w:tmpl w:val="23643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C3A"/>
    <w:multiLevelType w:val="hybridMultilevel"/>
    <w:tmpl w:val="7090A318"/>
    <w:lvl w:ilvl="0" w:tplc="7AF6C310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E64A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CC7D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6939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833E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8AED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AD1F6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E063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573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E33595"/>
    <w:multiLevelType w:val="hybridMultilevel"/>
    <w:tmpl w:val="2C68F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0B2C"/>
    <w:multiLevelType w:val="hybridMultilevel"/>
    <w:tmpl w:val="863AC27A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EDC62A7"/>
    <w:multiLevelType w:val="hybridMultilevel"/>
    <w:tmpl w:val="C6B6E4F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0D941F4"/>
    <w:multiLevelType w:val="hybridMultilevel"/>
    <w:tmpl w:val="C838C098"/>
    <w:lvl w:ilvl="0" w:tplc="27DEF7C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55F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0D0F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BA4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80D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E51A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836B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33F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05B2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C66745"/>
    <w:multiLevelType w:val="hybridMultilevel"/>
    <w:tmpl w:val="F984F1EC"/>
    <w:lvl w:ilvl="0" w:tplc="8FD2188C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D952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4686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6011A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E687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6333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A79C6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2DB8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80A8A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2"/>
    <w:rsid w:val="000A2A90"/>
    <w:rsid w:val="000A4F5F"/>
    <w:rsid w:val="00286063"/>
    <w:rsid w:val="00345280"/>
    <w:rsid w:val="00466A8A"/>
    <w:rsid w:val="004A7081"/>
    <w:rsid w:val="004F422B"/>
    <w:rsid w:val="005F1819"/>
    <w:rsid w:val="005F2E2A"/>
    <w:rsid w:val="00704B35"/>
    <w:rsid w:val="00777B55"/>
    <w:rsid w:val="007A0996"/>
    <w:rsid w:val="007C5B03"/>
    <w:rsid w:val="008A5432"/>
    <w:rsid w:val="00906211"/>
    <w:rsid w:val="00961532"/>
    <w:rsid w:val="00963AEF"/>
    <w:rsid w:val="00A37598"/>
    <w:rsid w:val="00C65CA2"/>
    <w:rsid w:val="00CA48D3"/>
    <w:rsid w:val="00CB176D"/>
    <w:rsid w:val="00D618B5"/>
    <w:rsid w:val="00DC3501"/>
    <w:rsid w:val="00DC39A3"/>
    <w:rsid w:val="00EC0116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75DC-4729-4B17-BFA4-2F56733D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4</cp:revision>
  <cp:lastPrinted>2017-05-16T06:44:00Z</cp:lastPrinted>
  <dcterms:created xsi:type="dcterms:W3CDTF">2017-07-18T18:48:00Z</dcterms:created>
  <dcterms:modified xsi:type="dcterms:W3CDTF">2018-02-26T09:48:00Z</dcterms:modified>
</cp:coreProperties>
</file>